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DE" w:rsidRPr="007C0F1E" w:rsidRDefault="00936331" w:rsidP="007C0F1E">
      <w:pPr>
        <w:jc w:val="center"/>
        <w:rPr>
          <w:b/>
          <w:sz w:val="28"/>
          <w:szCs w:val="28"/>
        </w:rPr>
      </w:pPr>
      <w:r>
        <w:rPr>
          <w:b/>
          <w:sz w:val="28"/>
          <w:szCs w:val="28"/>
        </w:rPr>
        <w:t xml:space="preserve">2017 </w:t>
      </w:r>
      <w:r w:rsidR="007C0F1E" w:rsidRPr="007C0F1E">
        <w:rPr>
          <w:b/>
          <w:sz w:val="28"/>
          <w:szCs w:val="28"/>
        </w:rPr>
        <w:t>Biology Summer Program Summary</w:t>
      </w:r>
    </w:p>
    <w:p w:rsidR="007C0F1E" w:rsidRDefault="007C0F1E"/>
    <w:p w:rsidR="007C0F1E" w:rsidRPr="008803E1" w:rsidRDefault="007C0F1E" w:rsidP="006C4BD6">
      <w:pPr>
        <w:jc w:val="both"/>
        <w:rPr>
          <w:color w:val="4F81BD" w:themeColor="accent1"/>
          <w:sz w:val="24"/>
          <w:szCs w:val="24"/>
        </w:rPr>
      </w:pPr>
      <w:r w:rsidRPr="008803E1">
        <w:rPr>
          <w:color w:val="4F81BD" w:themeColor="accent1"/>
          <w:sz w:val="24"/>
          <w:szCs w:val="24"/>
        </w:rPr>
        <w:t>Background</w:t>
      </w:r>
    </w:p>
    <w:p w:rsidR="007C0F1E" w:rsidRDefault="007C0F1E" w:rsidP="006C4BD6">
      <w:pPr>
        <w:jc w:val="both"/>
      </w:pPr>
    </w:p>
    <w:p w:rsidR="007C0F1E" w:rsidRDefault="00936331" w:rsidP="006C4BD6">
      <w:pPr>
        <w:jc w:val="both"/>
      </w:pPr>
      <w:r>
        <w:t xml:space="preserve">2016 </w:t>
      </w:r>
      <w:r w:rsidR="002557C2">
        <w:t xml:space="preserve">saw </w:t>
      </w:r>
      <w:r>
        <w:t>the inaugural Biology summer program for high school students</w:t>
      </w:r>
      <w:r w:rsidR="007A522C">
        <w:t xml:space="preserve"> </w:t>
      </w:r>
      <w:r w:rsidR="002557C2">
        <w:t xml:space="preserve">which </w:t>
      </w:r>
      <w:r w:rsidR="007A522C">
        <w:t xml:space="preserve">was </w:t>
      </w:r>
      <w:r w:rsidR="00C07BE5">
        <w:t>developed and led</w:t>
      </w:r>
      <w:r w:rsidR="007A522C">
        <w:t xml:space="preserve"> by Katie Spink</w:t>
      </w:r>
      <w:r w:rsidR="00E1117F">
        <w:t>, with</w:t>
      </w:r>
      <w:r w:rsidR="004A25A8">
        <w:t xml:space="preserve"> </w:t>
      </w:r>
      <w:r w:rsidR="00E1117F">
        <w:t>participation by several o</w:t>
      </w:r>
      <w:r w:rsidR="002557C2">
        <w:t>t</w:t>
      </w:r>
      <w:r w:rsidR="00E1117F">
        <w:t>her faculty</w:t>
      </w:r>
      <w:r>
        <w:t xml:space="preserve">.  We accepted </w:t>
      </w:r>
      <w:r w:rsidR="007C0F1E">
        <w:t>20 into the program, about 14 said they would attend, and 2 did not show up or complete the week.  It is my understanding that IIT did discount the fee for some of these students.</w:t>
      </w:r>
      <w:r>
        <w:t xml:space="preserve">  The program was successful and was under budget</w:t>
      </w:r>
      <w:r w:rsidR="00E1117F">
        <w:t>; however</w:t>
      </w:r>
      <w:r w:rsidR="002557C2">
        <w:t>,</w:t>
      </w:r>
      <w:r w:rsidR="00E1117F">
        <w:t xml:space="preserve"> no excess revenue was returned to the department, rather </w:t>
      </w:r>
      <w:r w:rsidR="004A25A8">
        <w:t>it reverted</w:t>
      </w:r>
      <w:r w:rsidR="00E1117F">
        <w:t xml:space="preserve"> to IIT.  </w:t>
      </w:r>
    </w:p>
    <w:p w:rsidR="00936331" w:rsidRDefault="00936331" w:rsidP="006C4BD6">
      <w:pPr>
        <w:jc w:val="both"/>
      </w:pPr>
    </w:p>
    <w:p w:rsidR="00936331" w:rsidRDefault="00936331" w:rsidP="006C4BD6">
      <w:pPr>
        <w:jc w:val="both"/>
      </w:pPr>
      <w:r>
        <w:t xml:space="preserve">Last fall, the department decided to take over management of enrollment so that all funds for the program would come to the department and any excess funds that were not spent directly for the program would not be lost to other entities.  In addition, </w:t>
      </w:r>
      <w:r w:rsidR="002557C2">
        <w:t>an</w:t>
      </w:r>
      <w:r w:rsidR="00E1117F">
        <w:t xml:space="preserve"> issue of time pressure was identified last year, with difficulty offering all experi</w:t>
      </w:r>
      <w:r w:rsidR="004A25A8">
        <w:t>ment</w:t>
      </w:r>
      <w:r w:rsidR="00097B99">
        <w:t>s</w:t>
      </w:r>
      <w:r w:rsidR="002557C2">
        <w:t xml:space="preserve"> within a tight 1-</w:t>
      </w:r>
      <w:r w:rsidR="00E1117F">
        <w:t>week timeframe. In addition</w:t>
      </w:r>
      <w:r w:rsidR="002557C2">
        <w:t>,</w:t>
      </w:r>
      <w:r w:rsidR="00E1117F">
        <w:t xml:space="preserve"> </w:t>
      </w:r>
      <w:r w:rsidR="004A25A8">
        <w:t>many student</w:t>
      </w:r>
      <w:r w:rsidR="00E1117F">
        <w:t xml:space="preserve">s expressed a desire for more time in the </w:t>
      </w:r>
      <w:r w:rsidR="004A25A8">
        <w:t>program. To</w:t>
      </w:r>
      <w:r w:rsidR="002557C2">
        <w:t xml:space="preserve"> address these issues, </w:t>
      </w:r>
      <w:r w:rsidR="00E1117F">
        <w:t>we</w:t>
      </w:r>
      <w:r>
        <w:t xml:space="preserve"> expand</w:t>
      </w:r>
      <w:r w:rsidR="00E1117F">
        <w:t>ed</w:t>
      </w:r>
      <w:r>
        <w:t xml:space="preserve"> the program from </w:t>
      </w:r>
      <w:r w:rsidR="00E1117F">
        <w:t xml:space="preserve">5 days over </w:t>
      </w:r>
      <w:r>
        <w:t>one week</w:t>
      </w:r>
      <w:r w:rsidR="004A25A8">
        <w:t>,</w:t>
      </w:r>
      <w:r>
        <w:t xml:space="preserve"> to </w:t>
      </w:r>
      <w:r w:rsidR="00E1117F">
        <w:t xml:space="preserve">8 days over </w:t>
      </w:r>
      <w:r>
        <w:t>two weeks</w:t>
      </w:r>
      <w:r w:rsidR="004A25A8">
        <w:t xml:space="preserve"> (while keeping tuition flat)</w:t>
      </w:r>
      <w:r w:rsidR="00E1117F">
        <w:t>. Once again</w:t>
      </w:r>
      <w:r>
        <w:t xml:space="preserve"> several faculty </w:t>
      </w:r>
      <w:r w:rsidR="00E1117F">
        <w:t xml:space="preserve">agreed </w:t>
      </w:r>
      <w:r>
        <w:t>to participate.</w:t>
      </w:r>
    </w:p>
    <w:p w:rsidR="007C0F1E" w:rsidRDefault="007C0F1E" w:rsidP="006C4BD6">
      <w:pPr>
        <w:jc w:val="both"/>
      </w:pPr>
    </w:p>
    <w:p w:rsidR="007C0F1E" w:rsidRPr="008803E1" w:rsidRDefault="00936331" w:rsidP="006C4BD6">
      <w:pPr>
        <w:jc w:val="both"/>
        <w:rPr>
          <w:color w:val="4F81BD" w:themeColor="accent1"/>
          <w:sz w:val="24"/>
          <w:szCs w:val="24"/>
        </w:rPr>
      </w:pPr>
      <w:r>
        <w:rPr>
          <w:color w:val="4F81BD" w:themeColor="accent1"/>
          <w:sz w:val="24"/>
          <w:szCs w:val="24"/>
        </w:rPr>
        <w:t xml:space="preserve">2017 </w:t>
      </w:r>
      <w:r w:rsidR="007C0F1E" w:rsidRPr="008803E1">
        <w:rPr>
          <w:color w:val="4F81BD" w:themeColor="accent1"/>
          <w:sz w:val="24"/>
          <w:szCs w:val="24"/>
        </w:rPr>
        <w:t>Program</w:t>
      </w:r>
    </w:p>
    <w:p w:rsidR="007C0F1E" w:rsidRDefault="007C0F1E" w:rsidP="006C4BD6">
      <w:pPr>
        <w:jc w:val="both"/>
      </w:pPr>
    </w:p>
    <w:p w:rsidR="00936331" w:rsidRDefault="00E1117F" w:rsidP="006C4BD6">
      <w:pPr>
        <w:jc w:val="both"/>
      </w:pPr>
      <w:r>
        <w:t xml:space="preserve">The department </w:t>
      </w:r>
      <w:r w:rsidR="00936331">
        <w:t>took over enrollment management.  We had 23 students deposit; however only 21 arrived for the program.  This represents a significant increase in enrollment.</w:t>
      </w:r>
      <w:r w:rsidR="007A522C">
        <w:t xml:space="preserve">  Many of the students (8) were from Von Steuben High School</w:t>
      </w:r>
      <w:r w:rsidR="00C07BE5">
        <w:t xml:space="preserve">; </w:t>
      </w:r>
      <w:r w:rsidR="00413285">
        <w:t>and</w:t>
      </w:r>
      <w:bookmarkStart w:id="0" w:name="_GoBack"/>
      <w:bookmarkEnd w:id="0"/>
      <w:r w:rsidR="007A522C">
        <w:t>, we had one student from out of state.  10 students expressed interest in the health professions.</w:t>
      </w:r>
    </w:p>
    <w:p w:rsidR="00936331" w:rsidRDefault="00936331" w:rsidP="006C4BD6">
      <w:pPr>
        <w:jc w:val="both"/>
      </w:pPr>
    </w:p>
    <w:p w:rsidR="004A25A8" w:rsidRDefault="007C0F1E" w:rsidP="006C4BD6">
      <w:pPr>
        <w:jc w:val="both"/>
      </w:pPr>
      <w:r>
        <w:t xml:space="preserve">The </w:t>
      </w:r>
      <w:r w:rsidR="00936331">
        <w:t>two week program</w:t>
      </w:r>
      <w:r>
        <w:t xml:space="preserve"> consisted of a series of experiments (genomic profiling and bioinformatics, microbiology, </w:t>
      </w:r>
      <w:r w:rsidR="00936331">
        <w:t xml:space="preserve">anatomy and </w:t>
      </w:r>
      <w:r>
        <w:t xml:space="preserve">physiology, </w:t>
      </w:r>
      <w:r w:rsidR="00936331">
        <w:t>and cell biology</w:t>
      </w:r>
      <w:r w:rsidR="00E1117F">
        <w:t xml:space="preserve"> (new this year)</w:t>
      </w:r>
      <w:r>
        <w:t>) and guest speakers in different career paths that someone with a degree in Biology might take (</w:t>
      </w:r>
      <w:r w:rsidR="00936331">
        <w:t>research</w:t>
      </w:r>
      <w:r>
        <w:t xml:space="preserve">, MD, </w:t>
      </w:r>
      <w:r w:rsidR="00936331">
        <w:t>advocacy</w:t>
      </w:r>
      <w:r>
        <w:t>).  Each day ran from approximately 10-3.</w:t>
      </w:r>
      <w:r w:rsidR="008803E1">
        <w:t xml:space="preserve">  </w:t>
      </w:r>
      <w:r w:rsidR="007A522C">
        <w:t xml:space="preserve">We also coordinated an ‘ICO day’ where ICO faculty came to lead the eyeball dissection in the morning and the students spent the afternoon at ICO learning about Optometry.  </w:t>
      </w:r>
      <w:r w:rsidR="008803E1">
        <w:t xml:space="preserve">Organization involved arrangement for speakers and planning the experiments (ordering, </w:t>
      </w:r>
      <w:r w:rsidR="00936331">
        <w:t xml:space="preserve">safety approval, </w:t>
      </w:r>
      <w:proofErr w:type="spellStart"/>
      <w:r w:rsidR="008803E1">
        <w:t>etc</w:t>
      </w:r>
      <w:proofErr w:type="spellEnd"/>
      <w:r w:rsidR="008803E1">
        <w:t xml:space="preserve">), </w:t>
      </w:r>
      <w:r w:rsidR="00936331">
        <w:t>and generation of a ‘lab manual’</w:t>
      </w:r>
      <w:r w:rsidR="008803E1">
        <w:t>.</w:t>
      </w:r>
      <w:r w:rsidR="00936331">
        <w:t xml:space="preserve">  </w:t>
      </w:r>
      <w:r w:rsidR="007A522C">
        <w:t>Katie</w:t>
      </w:r>
      <w:r w:rsidR="002557C2">
        <w:t xml:space="preserve"> ran</w:t>
      </w:r>
      <w:r w:rsidR="004A25A8">
        <w:t xml:space="preserve"> and organized the program</w:t>
      </w:r>
      <w:r w:rsidR="002557C2">
        <w:t xml:space="preserve"> and a daily basis, with one TA, and</w:t>
      </w:r>
      <w:r w:rsidR="00936331">
        <w:t xml:space="preserve"> </w:t>
      </w:r>
      <w:r w:rsidR="004A25A8">
        <w:t xml:space="preserve">with </w:t>
      </w:r>
      <w:r w:rsidR="00936331">
        <w:t>Nick</w:t>
      </w:r>
      <w:r w:rsidR="004A25A8">
        <w:t xml:space="preserve"> (2 </w:t>
      </w:r>
      <w:proofErr w:type="spellStart"/>
      <w:r w:rsidR="004A25A8">
        <w:t>exps</w:t>
      </w:r>
      <w:proofErr w:type="spellEnd"/>
      <w:r w:rsidR="00097B99">
        <w:t>,</w:t>
      </w:r>
      <w:r w:rsidR="004A25A8">
        <w:t xml:space="preserve"> 4 days)</w:t>
      </w:r>
      <w:r w:rsidR="007A522C">
        <w:t>,</w:t>
      </w:r>
      <w:r w:rsidR="00936331">
        <w:t xml:space="preserve"> JF</w:t>
      </w:r>
      <w:r w:rsidR="002557C2">
        <w:t xml:space="preserve"> (</w:t>
      </w:r>
      <w:r w:rsidR="004A25A8">
        <w:t xml:space="preserve">1 </w:t>
      </w:r>
      <w:proofErr w:type="spellStart"/>
      <w:r w:rsidR="004A25A8">
        <w:t>exp</w:t>
      </w:r>
      <w:proofErr w:type="spellEnd"/>
      <w:r w:rsidR="00097B99">
        <w:t>,</w:t>
      </w:r>
      <w:r w:rsidR="004A25A8">
        <w:t xml:space="preserve"> 1 day)</w:t>
      </w:r>
      <w:r w:rsidR="007A522C">
        <w:t>, and John Zhou</w:t>
      </w:r>
      <w:r w:rsidR="004A25A8">
        <w:t xml:space="preserve"> (</w:t>
      </w:r>
      <w:r w:rsidR="006C36CC">
        <w:t>3</w:t>
      </w:r>
      <w:r w:rsidR="004A25A8">
        <w:t xml:space="preserve"> </w:t>
      </w:r>
      <w:proofErr w:type="spellStart"/>
      <w:r w:rsidR="004A25A8">
        <w:t>exp</w:t>
      </w:r>
      <w:r w:rsidR="006C36CC">
        <w:t>s</w:t>
      </w:r>
      <w:proofErr w:type="spellEnd"/>
      <w:r w:rsidR="00097B99">
        <w:t>,</w:t>
      </w:r>
      <w:r w:rsidR="004A25A8">
        <w:t xml:space="preserve"> 1 day)</w:t>
      </w:r>
      <w:r w:rsidR="00936331">
        <w:t xml:space="preserve"> participat</w:t>
      </w:r>
      <w:r w:rsidR="004A25A8">
        <w:t xml:space="preserve">ing as well. </w:t>
      </w:r>
      <w:r w:rsidR="00936331">
        <w:t xml:space="preserve"> </w:t>
      </w:r>
    </w:p>
    <w:p w:rsidR="004A25A8" w:rsidRDefault="004A25A8" w:rsidP="006C4BD6">
      <w:pPr>
        <w:jc w:val="both"/>
      </w:pPr>
    </w:p>
    <w:p w:rsidR="007C0F1E" w:rsidRDefault="004A25A8" w:rsidP="006C4BD6">
      <w:pPr>
        <w:jc w:val="both"/>
      </w:pPr>
      <w:r>
        <w:t>This program was also the first lab class in the department (possibly at IIT) to fully comply with required</w:t>
      </w:r>
      <w:r w:rsidRPr="004A25A8">
        <w:t xml:space="preserve"> </w:t>
      </w:r>
      <w:r>
        <w:t>safety review mandates. We developed appropriate protocols, and applied for and received IBC approval before any instruction could begin. This process was a bit cumbersome and challenging, with several iterations and revisions required, and tight deadlines.  However, it is expected that re-approval in subsequent years will be less difficult; and this has provided a useful template for the regular IIT lab class approval process.</w:t>
      </w:r>
    </w:p>
    <w:p w:rsidR="007C0F1E" w:rsidRDefault="007C0F1E" w:rsidP="006C4BD6">
      <w:pPr>
        <w:jc w:val="both"/>
      </w:pPr>
    </w:p>
    <w:p w:rsidR="007C0F1E" w:rsidRPr="008803E1" w:rsidRDefault="007C0F1E" w:rsidP="006C4BD6">
      <w:pPr>
        <w:jc w:val="both"/>
        <w:rPr>
          <w:color w:val="4F81BD" w:themeColor="accent1"/>
          <w:sz w:val="24"/>
          <w:szCs w:val="24"/>
        </w:rPr>
      </w:pPr>
      <w:r w:rsidRPr="008803E1">
        <w:rPr>
          <w:color w:val="4F81BD" w:themeColor="accent1"/>
          <w:sz w:val="24"/>
          <w:szCs w:val="24"/>
        </w:rPr>
        <w:t>Budget</w:t>
      </w:r>
    </w:p>
    <w:p w:rsidR="007C0F1E" w:rsidRDefault="007C0F1E" w:rsidP="006C4BD6">
      <w:pPr>
        <w:jc w:val="both"/>
      </w:pPr>
    </w:p>
    <w:p w:rsidR="007C0F1E" w:rsidRDefault="007C0F1E" w:rsidP="006C4BD6">
      <w:pPr>
        <w:jc w:val="both"/>
      </w:pPr>
      <w:r>
        <w:t xml:space="preserve">Expenses included salary (TA), lab supplies, and two </w:t>
      </w:r>
      <w:r w:rsidR="00936331">
        <w:t>provided lunches</w:t>
      </w:r>
      <w:r>
        <w:t xml:space="preserve">.  We were </w:t>
      </w:r>
      <w:r w:rsidR="00936331">
        <w:t xml:space="preserve">far </w:t>
      </w:r>
      <w:r>
        <w:t>under budget</w:t>
      </w:r>
      <w:r w:rsidR="00936331">
        <w:t xml:space="preserve"> and were able to use the residual funds to purchase e</w:t>
      </w:r>
      <w:r w:rsidR="006C4BD6">
        <w:t>quipment for the teaching labs.  Micro-incinerators were purchased to replace the use of Bunsen burners</w:t>
      </w:r>
      <w:r w:rsidR="0066611C">
        <w:t xml:space="preserve">, which is an issue of safety and regulatory compliance – and shows how this program can be </w:t>
      </w:r>
      <w:r w:rsidR="00097B99">
        <w:t>us</w:t>
      </w:r>
      <w:r w:rsidR="0066611C">
        <w:t xml:space="preserve">ed to help the department and institution deal with these and </w:t>
      </w:r>
      <w:r w:rsidR="0066611C">
        <w:lastRenderedPageBreak/>
        <w:t>other “unfunded mandate” issues</w:t>
      </w:r>
      <w:r w:rsidR="006C4BD6">
        <w:t>.  We are still waiting for the sequencing charges; however, as you can see, we still</w:t>
      </w:r>
      <w:r w:rsidR="00097B99">
        <w:t xml:space="preserve"> have</w:t>
      </w:r>
      <w:r w:rsidR="006C4BD6">
        <w:t xml:space="preserve"> residual funds</w:t>
      </w:r>
      <w:r w:rsidR="00AA083C">
        <w:t>,</w:t>
      </w:r>
      <w:r w:rsidR="006C4BD6">
        <w:t xml:space="preserve"> even after the equipment purchase</w:t>
      </w:r>
      <w:r w:rsidR="00AA083C">
        <w:t>,</w:t>
      </w:r>
      <w:r w:rsidR="006C4BD6">
        <w:t xml:space="preserve"> that can be used</w:t>
      </w:r>
      <w:r w:rsidR="00AA083C">
        <w:t>.</w:t>
      </w:r>
    </w:p>
    <w:p w:rsidR="006C4BD6" w:rsidRDefault="006C4BD6" w:rsidP="006C4BD6">
      <w:pPr>
        <w:jc w:val="both"/>
      </w:pPr>
    </w:p>
    <w:tbl>
      <w:tblPr>
        <w:tblW w:w="0" w:type="dxa"/>
        <w:tblCellMar>
          <w:left w:w="0" w:type="dxa"/>
          <w:right w:w="0" w:type="dxa"/>
        </w:tblCellMar>
        <w:tblLook w:val="04A0" w:firstRow="1" w:lastRow="0" w:firstColumn="1" w:lastColumn="0" w:noHBand="0" w:noVBand="1"/>
      </w:tblPr>
      <w:tblGrid>
        <w:gridCol w:w="2883"/>
        <w:gridCol w:w="704"/>
        <w:gridCol w:w="854"/>
        <w:gridCol w:w="96"/>
        <w:gridCol w:w="771"/>
        <w:gridCol w:w="1780"/>
        <w:gridCol w:w="96"/>
      </w:tblGrid>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Saline (concentrated)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37.87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11,500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23 students x $500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Carolina (various-media/blood)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753.68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-1000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Withdraws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tellurite plates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283.84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-8894.7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Expenditures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roofErr w:type="spellStart"/>
            <w:r w:rsidRPr="006C4BD6">
              <w:rPr>
                <w:rFonts w:ascii="Calibri" w:eastAsia="Times New Roman" w:hAnsi="Calibri" w:cs="Times New Roman"/>
              </w:rPr>
              <w:t>GelRed</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110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1,605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Lipofectamine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392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Loops/Needles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178.28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Tongue Depressors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19.56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roofErr w:type="spellStart"/>
            <w:r w:rsidRPr="006C4BD6">
              <w:rPr>
                <w:rFonts w:ascii="Calibri" w:eastAsia="Times New Roman" w:hAnsi="Calibri" w:cs="Times New Roman"/>
              </w:rPr>
              <w:t>Zymo</w:t>
            </w:r>
            <w:proofErr w:type="spellEnd"/>
            <w:r w:rsidRPr="006C4BD6">
              <w:rPr>
                <w:rFonts w:ascii="Calibri" w:eastAsia="Times New Roman" w:hAnsi="Calibri" w:cs="Times New Roman"/>
              </w:rPr>
              <w:t xml:space="preserve"> Kit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99.42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genomic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Saline (Carolina)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19.65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Electrodes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114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Pay for Krystal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1200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Lab Notebooks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656.5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Razor Blades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25.8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color w:val="A61C00"/>
              </w:rPr>
            </w:pPr>
            <w:r w:rsidRPr="006C4BD6">
              <w:rPr>
                <w:rFonts w:ascii="Calibri" w:eastAsia="Times New Roman" w:hAnsi="Calibri" w:cs="Times New Roman"/>
                <w:color w:val="A61C00"/>
              </w:rPr>
              <w:t>Sequencing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color w:val="A61C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color w:val="A61C00"/>
              </w:rPr>
            </w:pPr>
            <w:r w:rsidRPr="006C4BD6">
              <w:rPr>
                <w:rFonts w:ascii="Calibri" w:eastAsia="Times New Roman" w:hAnsi="Calibri" w:cs="Times New Roman"/>
                <w:color w:val="A61C00"/>
              </w:rPr>
              <w:t>NM supplies...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color w:val="A61C00"/>
              </w:rPr>
            </w:pPr>
            <w:r w:rsidRPr="006C4BD6">
              <w:rPr>
                <w:rFonts w:ascii="Calibri" w:eastAsia="Times New Roman" w:hAnsi="Calibri" w:cs="Times New Roman"/>
                <w:color w:val="A61C00"/>
              </w:rPr>
              <w:t>360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Pizza Lunch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147.25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r w:rsidRPr="006C4BD6">
              <w:rPr>
                <w:rFonts w:ascii="Calibri" w:eastAsia="Times New Roman" w:hAnsi="Calibri" w:cs="Times New Roman"/>
              </w:rPr>
              <w:t>Lunch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147.25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roofErr w:type="spellStart"/>
            <w:r w:rsidRPr="006C4BD6">
              <w:rPr>
                <w:rFonts w:ascii="Calibri" w:eastAsia="Times New Roman" w:hAnsi="Calibri" w:cs="Times New Roman"/>
              </w:rPr>
              <w:t>microincinerators</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4349.6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r w:rsidR="006C4BD6" w:rsidRPr="006C4BD6" w:rsidTr="006C4BD6">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jc w:val="right"/>
              <w:rPr>
                <w:rFonts w:ascii="Calibri" w:eastAsia="Times New Roman" w:hAnsi="Calibri" w:cs="Times New Roman"/>
              </w:rPr>
            </w:pPr>
            <w:r w:rsidRPr="006C4BD6">
              <w:rPr>
                <w:rFonts w:ascii="Calibri" w:eastAsia="Times New Roman" w:hAnsi="Calibri" w:cs="Times New Roman"/>
              </w:rPr>
              <w:t>8894.7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4BD6" w:rsidRPr="006C4BD6" w:rsidRDefault="006C4BD6" w:rsidP="006C4BD6">
            <w:pPr>
              <w:rPr>
                <w:rFonts w:ascii="Calibri" w:eastAsia="Times New Roman" w:hAnsi="Calibri" w:cs="Times New Roman"/>
              </w:rPr>
            </w:pPr>
          </w:p>
        </w:tc>
      </w:tr>
    </w:tbl>
    <w:p w:rsidR="006C4BD6" w:rsidRDefault="006C4BD6" w:rsidP="006C4BD6">
      <w:pPr>
        <w:jc w:val="both"/>
      </w:pPr>
    </w:p>
    <w:p w:rsidR="007C0F1E" w:rsidRDefault="007C0F1E" w:rsidP="006C4BD6">
      <w:pPr>
        <w:jc w:val="both"/>
      </w:pPr>
    </w:p>
    <w:p w:rsidR="007C0F1E" w:rsidRPr="008803E1" w:rsidRDefault="007C0F1E" w:rsidP="006C4BD6">
      <w:pPr>
        <w:jc w:val="both"/>
        <w:rPr>
          <w:color w:val="4F81BD" w:themeColor="accent1"/>
          <w:sz w:val="24"/>
          <w:szCs w:val="24"/>
        </w:rPr>
      </w:pPr>
      <w:r w:rsidRPr="008803E1">
        <w:rPr>
          <w:color w:val="4F81BD" w:themeColor="accent1"/>
          <w:sz w:val="24"/>
          <w:szCs w:val="24"/>
        </w:rPr>
        <w:t>Student Response</w:t>
      </w:r>
    </w:p>
    <w:p w:rsidR="007C0F1E" w:rsidRDefault="007C0F1E" w:rsidP="006C4BD6">
      <w:pPr>
        <w:jc w:val="both"/>
      </w:pPr>
    </w:p>
    <w:p w:rsidR="008803E1" w:rsidRDefault="007C0F1E" w:rsidP="006C4BD6">
      <w:pPr>
        <w:jc w:val="both"/>
      </w:pPr>
      <w:r>
        <w:t>The students were v</w:t>
      </w:r>
      <w:r w:rsidR="006C4BD6">
        <w:t>ery pleased with the experience</w:t>
      </w:r>
      <w:r w:rsidR="007A522C">
        <w:t>, especially learning about career paths they had not considered before i.e. policy, optometry</w:t>
      </w:r>
      <w:r w:rsidR="006C4BD6">
        <w:t>.  Parent feedback was also positive.</w:t>
      </w:r>
    </w:p>
    <w:p w:rsidR="006C4BD6" w:rsidRDefault="006C4BD6" w:rsidP="006C4BD6">
      <w:pPr>
        <w:jc w:val="both"/>
      </w:pPr>
    </w:p>
    <w:p w:rsidR="008803E1" w:rsidRPr="008803E1" w:rsidRDefault="008803E1" w:rsidP="006C4BD6">
      <w:pPr>
        <w:jc w:val="both"/>
        <w:rPr>
          <w:color w:val="4F81BD" w:themeColor="accent1"/>
          <w:sz w:val="24"/>
          <w:szCs w:val="24"/>
        </w:rPr>
      </w:pPr>
      <w:r w:rsidRPr="008803E1">
        <w:rPr>
          <w:color w:val="4F81BD" w:themeColor="accent1"/>
          <w:sz w:val="24"/>
          <w:szCs w:val="24"/>
        </w:rPr>
        <w:t>For the Future</w:t>
      </w:r>
    </w:p>
    <w:p w:rsidR="008803E1" w:rsidRDefault="008803E1" w:rsidP="006C4BD6">
      <w:pPr>
        <w:jc w:val="both"/>
      </w:pPr>
    </w:p>
    <w:p w:rsidR="004A25A8" w:rsidRDefault="008803E1" w:rsidP="006C4BD6">
      <w:pPr>
        <w:jc w:val="both"/>
      </w:pPr>
      <w:r>
        <w:t xml:space="preserve">Naturally, some days progressed better than others, but that is to be expected.  </w:t>
      </w:r>
      <w:r w:rsidR="006C4BD6">
        <w:t xml:space="preserve">Furthermore, we experienced some growing pains this year with the increase in enrollment.  </w:t>
      </w:r>
      <w:r w:rsidR="004A25A8">
        <w:t>Two</w:t>
      </w:r>
      <w:r w:rsidR="0066611C">
        <w:t xml:space="preserve"> issue</w:t>
      </w:r>
      <w:r w:rsidR="002557C2">
        <w:t>s</w:t>
      </w:r>
      <w:r w:rsidR="0066611C">
        <w:t xml:space="preserve"> </w:t>
      </w:r>
      <w:r w:rsidR="004A25A8">
        <w:t xml:space="preserve">were </w:t>
      </w:r>
      <w:r w:rsidR="00097B99">
        <w:t>identified this</w:t>
      </w:r>
      <w:r w:rsidR="004A25A8">
        <w:t xml:space="preserve"> year to deal better deal with these </w:t>
      </w:r>
      <w:r w:rsidR="0066611C">
        <w:t>higher enrollment</w:t>
      </w:r>
      <w:r w:rsidR="004A25A8">
        <w:t xml:space="preserve"> classes:</w:t>
      </w:r>
    </w:p>
    <w:p w:rsidR="004A25A8" w:rsidRDefault="006C4BD6" w:rsidP="006C36CC">
      <w:pPr>
        <w:pStyle w:val="ListParagraph"/>
        <w:numPr>
          <w:ilvl w:val="0"/>
          <w:numId w:val="2"/>
        </w:numPr>
        <w:jc w:val="both"/>
      </w:pPr>
      <w:r>
        <w:t xml:space="preserve">we will need to extend the hours to 9-3 and </w:t>
      </w:r>
    </w:p>
    <w:p w:rsidR="00FD1D16" w:rsidRDefault="002557C2" w:rsidP="006C36CC">
      <w:pPr>
        <w:pStyle w:val="ListParagraph"/>
        <w:numPr>
          <w:ilvl w:val="0"/>
          <w:numId w:val="2"/>
        </w:numPr>
        <w:jc w:val="both"/>
      </w:pPr>
      <w:proofErr w:type="gramStart"/>
      <w:r>
        <w:t>w</w:t>
      </w:r>
      <w:r w:rsidR="004A25A8">
        <w:t>e</w:t>
      </w:r>
      <w:proofErr w:type="gramEnd"/>
      <w:r w:rsidR="004A25A8">
        <w:t xml:space="preserve"> need </w:t>
      </w:r>
      <w:r w:rsidR="006C4BD6">
        <w:t>add an additional TA</w:t>
      </w:r>
      <w:r w:rsidR="004A25A8">
        <w:t>,  with an ratio of</w:t>
      </w:r>
      <w:r>
        <w:t xml:space="preserve"> </w:t>
      </w:r>
      <w:r w:rsidR="007A522C">
        <w:t>1 TA/10 students</w:t>
      </w:r>
      <w:r w:rsidR="004A25A8">
        <w:t xml:space="preserve"> suitable to properly manage these naïve student</w:t>
      </w:r>
      <w:r>
        <w:t>s</w:t>
      </w:r>
      <w:r w:rsidR="006C4BD6">
        <w:t>.</w:t>
      </w:r>
    </w:p>
    <w:sectPr w:rsidR="00FD1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51C7F"/>
    <w:multiLevelType w:val="hybridMultilevel"/>
    <w:tmpl w:val="D3A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171C0"/>
    <w:multiLevelType w:val="hybridMultilevel"/>
    <w:tmpl w:val="3D78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E"/>
    <w:rsid w:val="00044F92"/>
    <w:rsid w:val="00097B99"/>
    <w:rsid w:val="002557C2"/>
    <w:rsid w:val="00413285"/>
    <w:rsid w:val="004A25A8"/>
    <w:rsid w:val="0066611C"/>
    <w:rsid w:val="006C36CC"/>
    <w:rsid w:val="006C4BD6"/>
    <w:rsid w:val="007A522C"/>
    <w:rsid w:val="007C0F1E"/>
    <w:rsid w:val="008803E1"/>
    <w:rsid w:val="00936331"/>
    <w:rsid w:val="00AA083C"/>
    <w:rsid w:val="00AD1CDE"/>
    <w:rsid w:val="00C07BE5"/>
    <w:rsid w:val="00E1117F"/>
    <w:rsid w:val="00F458BF"/>
    <w:rsid w:val="00FD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5D52D-0FB8-4593-9A1E-8650A303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E1"/>
    <w:pPr>
      <w:ind w:left="720"/>
      <w:contextualSpacing/>
    </w:pPr>
  </w:style>
  <w:style w:type="paragraph" w:styleId="BalloonText">
    <w:name w:val="Balloon Text"/>
    <w:basedOn w:val="Normal"/>
    <w:link w:val="BalloonTextChar"/>
    <w:uiPriority w:val="99"/>
    <w:semiHidden/>
    <w:unhideWhenUsed/>
    <w:rsid w:val="004A2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A8"/>
    <w:rPr>
      <w:rFonts w:ascii="Segoe UI" w:hAnsi="Segoe UI" w:cs="Segoe UI"/>
      <w:sz w:val="18"/>
      <w:szCs w:val="18"/>
    </w:rPr>
  </w:style>
  <w:style w:type="paragraph" w:styleId="Revision">
    <w:name w:val="Revision"/>
    <w:hidden/>
    <w:uiPriority w:val="99"/>
    <w:semiHidden/>
    <w:rsid w:val="006C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4374">
      <w:bodyDiv w:val="1"/>
      <w:marLeft w:val="0"/>
      <w:marRight w:val="0"/>
      <w:marTop w:val="0"/>
      <w:marBottom w:val="0"/>
      <w:divBdr>
        <w:top w:val="none" w:sz="0" w:space="0" w:color="auto"/>
        <w:left w:val="none" w:sz="0" w:space="0" w:color="auto"/>
        <w:bottom w:val="none" w:sz="0" w:space="0" w:color="auto"/>
        <w:right w:val="none" w:sz="0" w:space="0" w:color="auto"/>
      </w:divBdr>
      <w:divsChild>
        <w:div w:id="617444547">
          <w:marLeft w:val="0"/>
          <w:marRight w:val="0"/>
          <w:marTop w:val="0"/>
          <w:marBottom w:val="0"/>
          <w:divBdr>
            <w:top w:val="none" w:sz="0" w:space="0" w:color="auto"/>
            <w:left w:val="none" w:sz="0" w:space="0" w:color="auto"/>
            <w:bottom w:val="none" w:sz="0" w:space="0" w:color="auto"/>
            <w:right w:val="none" w:sz="0" w:space="0" w:color="auto"/>
          </w:divBdr>
          <w:divsChild>
            <w:div w:id="11010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Spink</dc:creator>
  <cp:lastModifiedBy>Windows User</cp:lastModifiedBy>
  <cp:revision>4</cp:revision>
  <cp:lastPrinted>2017-08-28T20:03:00Z</cp:lastPrinted>
  <dcterms:created xsi:type="dcterms:W3CDTF">2017-08-28T20:02:00Z</dcterms:created>
  <dcterms:modified xsi:type="dcterms:W3CDTF">2017-08-28T20:09:00Z</dcterms:modified>
</cp:coreProperties>
</file>