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DE" w:rsidRDefault="004B48A8" w:rsidP="005E3A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 MSHP Summary</w:t>
      </w:r>
    </w:p>
    <w:p w:rsidR="005E3A9C" w:rsidRDefault="005E3A9C" w:rsidP="005E3A9C">
      <w:pPr>
        <w:rPr>
          <w:sz w:val="24"/>
          <w:szCs w:val="24"/>
        </w:rPr>
      </w:pPr>
    </w:p>
    <w:p w:rsidR="005E3A9C" w:rsidRDefault="005E3A9C" w:rsidP="005E3A9C">
      <w:pPr>
        <w:rPr>
          <w:sz w:val="24"/>
          <w:szCs w:val="24"/>
        </w:rPr>
      </w:pPr>
    </w:p>
    <w:p w:rsidR="001F4A5B" w:rsidRDefault="004B48A8" w:rsidP="00EC14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Holistic Review and Health Professions School </w:t>
      </w:r>
      <w:r w:rsidR="00EC14D9">
        <w:rPr>
          <w:b/>
          <w:sz w:val="24"/>
          <w:szCs w:val="24"/>
        </w:rPr>
        <w:t xml:space="preserve">Admissions </w:t>
      </w:r>
      <w:r>
        <w:rPr>
          <w:b/>
          <w:sz w:val="24"/>
          <w:szCs w:val="24"/>
        </w:rPr>
        <w:t>Expectations</w:t>
      </w:r>
      <w:r w:rsidR="00E0253C" w:rsidRPr="006A79C0">
        <w:rPr>
          <w:b/>
          <w:sz w:val="24"/>
          <w:szCs w:val="24"/>
        </w:rPr>
        <w:t>:</w:t>
      </w:r>
      <w:r w:rsidR="00E0253C">
        <w:rPr>
          <w:sz w:val="24"/>
          <w:szCs w:val="24"/>
        </w:rPr>
        <w:t xml:space="preserve">  </w:t>
      </w:r>
      <w:r w:rsidR="00EC14D9">
        <w:rPr>
          <w:sz w:val="24"/>
          <w:szCs w:val="24"/>
        </w:rPr>
        <w:t xml:space="preserve">Admissions committees to health professions schools consider a variety of factors when reviewing applicants.  As part of the holistic review process, academics, references, and experiential learning are all part of the application and evaluated.  </w:t>
      </w:r>
    </w:p>
    <w:p w:rsidR="001F4A5B" w:rsidRDefault="001F4A5B" w:rsidP="00EC14D9">
      <w:pPr>
        <w:jc w:val="both"/>
        <w:rPr>
          <w:sz w:val="24"/>
          <w:szCs w:val="24"/>
        </w:rPr>
      </w:pPr>
    </w:p>
    <w:p w:rsidR="001F4A5B" w:rsidRDefault="00EC14D9" w:rsidP="00EC1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Experiential learning refers to the exposure to the profession the student wishes to join.  For each professions, and each school, standards will vary to some degree; however, knowledge of and commitment to the profession must be demonstrated, usually extensively.  </w:t>
      </w:r>
    </w:p>
    <w:p w:rsidR="001F4A5B" w:rsidRDefault="001F4A5B" w:rsidP="00EC14D9">
      <w:pPr>
        <w:jc w:val="both"/>
        <w:rPr>
          <w:sz w:val="24"/>
          <w:szCs w:val="24"/>
        </w:rPr>
      </w:pPr>
    </w:p>
    <w:p w:rsidR="00EC14D9" w:rsidRPr="001F4A5B" w:rsidRDefault="00EC14D9" w:rsidP="00EC1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References should provide context for other aspects of the application and also provide examples of various competencies that may not be initially evident.  To aid recommenders in this process, </w:t>
      </w:r>
      <w:r w:rsidRPr="001F4A5B">
        <w:rPr>
          <w:sz w:val="24"/>
          <w:szCs w:val="24"/>
        </w:rPr>
        <w:t>The AAMC has published guidelines highlighting competencies that medical school admissions committee members are looking for in applicants:</w:t>
      </w:r>
    </w:p>
    <w:p w:rsidR="00EC14D9" w:rsidRPr="001F4A5B" w:rsidRDefault="00EC14D9" w:rsidP="00EC14D9">
      <w:pPr>
        <w:jc w:val="both"/>
        <w:rPr>
          <w:sz w:val="24"/>
          <w:szCs w:val="24"/>
        </w:rPr>
      </w:pPr>
    </w:p>
    <w:p w:rsidR="00EC14D9" w:rsidRPr="001F4A5B" w:rsidRDefault="00EC14D9" w:rsidP="00EC14D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F4A5B">
        <w:rPr>
          <w:sz w:val="24"/>
          <w:szCs w:val="24"/>
        </w:rPr>
        <w:t xml:space="preserve"> Thinking &amp; Reasoning Competencies:  critical thinking, quantitative reasoning, scientific inquiry, and written communication</w:t>
      </w:r>
    </w:p>
    <w:p w:rsidR="00EC14D9" w:rsidRPr="001F4A5B" w:rsidRDefault="00EC14D9" w:rsidP="00EC14D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F4A5B">
        <w:rPr>
          <w:sz w:val="24"/>
          <w:szCs w:val="24"/>
        </w:rPr>
        <w:t>Science Competencies:  living systems and human behavior</w:t>
      </w:r>
    </w:p>
    <w:p w:rsidR="00EC14D9" w:rsidRPr="001F4A5B" w:rsidRDefault="00EC14D9" w:rsidP="00EC14D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F4A5B">
        <w:rPr>
          <w:sz w:val="24"/>
          <w:szCs w:val="24"/>
        </w:rPr>
        <w:t>Interpersonal Competencies:  service orientation, social skills, cultural competence, teamwork, and oral communication</w:t>
      </w:r>
    </w:p>
    <w:p w:rsidR="00EC14D9" w:rsidRPr="001F4A5B" w:rsidRDefault="00EC14D9" w:rsidP="00EC14D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F4A5B">
        <w:rPr>
          <w:sz w:val="24"/>
          <w:szCs w:val="24"/>
        </w:rPr>
        <w:t>Intrapersonal Competencies:  ethical responsibility to self and others, reliability and dependability, resilience and adaptability, and capacity for improvement</w:t>
      </w:r>
    </w:p>
    <w:p w:rsidR="00EC14D9" w:rsidRDefault="00EC14D9" w:rsidP="00EC14D9">
      <w:pPr>
        <w:jc w:val="both"/>
      </w:pPr>
    </w:p>
    <w:p w:rsidR="00EC14D9" w:rsidRPr="001F4A5B" w:rsidRDefault="00EC14D9" w:rsidP="00EC14D9">
      <w:pPr>
        <w:jc w:val="both"/>
        <w:rPr>
          <w:sz w:val="24"/>
          <w:szCs w:val="24"/>
        </w:rPr>
      </w:pPr>
      <w:r w:rsidRPr="001F4A5B">
        <w:rPr>
          <w:sz w:val="24"/>
          <w:szCs w:val="24"/>
        </w:rPr>
        <w:t xml:space="preserve">It is understood that </w:t>
      </w:r>
      <w:r w:rsidR="001F4A5B">
        <w:rPr>
          <w:sz w:val="24"/>
          <w:szCs w:val="24"/>
        </w:rPr>
        <w:t>each</w:t>
      </w:r>
      <w:r w:rsidRPr="001F4A5B">
        <w:rPr>
          <w:sz w:val="24"/>
          <w:szCs w:val="24"/>
        </w:rPr>
        <w:t xml:space="preserve"> letter will not be able to address all of these competencies. It is better to illustrate well one or a few of these competencies with detailed and objective evidence, rather than to produce a bland letter with nonspecific, unsupported praise.   </w:t>
      </w:r>
    </w:p>
    <w:p w:rsidR="00EC14D9" w:rsidRDefault="00EC14D9" w:rsidP="00EC14D9">
      <w:pPr>
        <w:jc w:val="both"/>
        <w:rPr>
          <w:sz w:val="24"/>
          <w:szCs w:val="24"/>
        </w:rPr>
      </w:pPr>
    </w:p>
    <w:p w:rsidR="00D67845" w:rsidRDefault="00EC14D9" w:rsidP="002864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MSHP program is part of the academic arm of a student’s application.  When considering the academic aptitude of an applicant for medical school, the admissions committee considers several questions:  Does the applicant have the necessary pre-requisites?  What is the trend in the </w:t>
      </w:r>
      <w:r w:rsidR="001F4A5B">
        <w:rPr>
          <w:sz w:val="24"/>
          <w:szCs w:val="24"/>
        </w:rPr>
        <w:t>applicant’s</w:t>
      </w:r>
      <w:r>
        <w:rPr>
          <w:sz w:val="24"/>
          <w:szCs w:val="24"/>
        </w:rPr>
        <w:t xml:space="preserve"> academic record?  Does the applicant demonstrate the ability to handle the rigors of a health professions education?  Does the applicant demonstrate the ability to perform to standards on relevant board exams?</w:t>
      </w:r>
      <w:r w:rsidR="001F4A5B">
        <w:rPr>
          <w:sz w:val="24"/>
          <w:szCs w:val="24"/>
        </w:rPr>
        <w:t xml:space="preserve">  All of these are evaluated based on transcripts and standardized test scores.  The MSHP program serves, in most cases, as a ‘career enhancer’ to a student’s academic record.  Students who enter this program will already have the necessary pre-requisites, but are generally not initially competitive applicants.  These students usually must demonstrate sustained upward trends in academic success, but more importantly the ability to handle the rigors of a health profession school education.  Some may simply not have been successful in their application without a clear indicator as to why or are taking a ‘gap year’.  Again, the goal is the same:  demonstrate the ability to handle a rigorous health profession school education.  </w:t>
      </w:r>
      <w:r w:rsidR="00C76E8B">
        <w:rPr>
          <w:sz w:val="24"/>
          <w:szCs w:val="24"/>
        </w:rPr>
        <w:t xml:space="preserve">The ability to handle rigor comes from courses taken, course load, and activities </w:t>
      </w:r>
      <w:r w:rsidR="00C76E8B">
        <w:rPr>
          <w:sz w:val="24"/>
          <w:szCs w:val="24"/>
        </w:rPr>
        <w:lastRenderedPageBreak/>
        <w:t xml:space="preserve">outside the classroom.  This will be different for every student; therefore, flexibility in the program is essential.  </w:t>
      </w:r>
      <w:r w:rsidR="001F4A5B">
        <w:rPr>
          <w:sz w:val="24"/>
          <w:szCs w:val="24"/>
        </w:rPr>
        <w:t>Theoretically, this program should also give students fundamentals that would enable them to perform better on certain aspects of admissions tests.</w:t>
      </w:r>
    </w:p>
    <w:p w:rsidR="001F4A5B" w:rsidRDefault="001F4A5B" w:rsidP="0028647D">
      <w:pPr>
        <w:jc w:val="both"/>
        <w:rPr>
          <w:sz w:val="24"/>
          <w:szCs w:val="24"/>
        </w:rPr>
      </w:pPr>
    </w:p>
    <w:p w:rsidR="004B48A8" w:rsidRDefault="004B48A8" w:rsidP="0028647D">
      <w:pPr>
        <w:jc w:val="both"/>
        <w:rPr>
          <w:sz w:val="24"/>
          <w:szCs w:val="24"/>
        </w:rPr>
      </w:pPr>
    </w:p>
    <w:p w:rsidR="00404BA1" w:rsidRDefault="004B48A8" w:rsidP="002864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Market Comparison</w:t>
      </w:r>
      <w:r w:rsidR="00895F0B" w:rsidRPr="008A6AC7">
        <w:rPr>
          <w:b/>
          <w:sz w:val="24"/>
          <w:szCs w:val="24"/>
        </w:rPr>
        <w:t>:</w:t>
      </w:r>
      <w:r w:rsidR="00895F0B">
        <w:rPr>
          <w:sz w:val="24"/>
          <w:szCs w:val="24"/>
        </w:rPr>
        <w:t xml:space="preserve">  </w:t>
      </w:r>
    </w:p>
    <w:p w:rsidR="00404BA1" w:rsidRDefault="00404BA1" w:rsidP="0028647D">
      <w:pPr>
        <w:jc w:val="both"/>
        <w:rPr>
          <w:sz w:val="24"/>
          <w:szCs w:val="24"/>
        </w:rPr>
      </w:pPr>
    </w:p>
    <w:p w:rsidR="00404BA1" w:rsidRDefault="00404BA1" w:rsidP="0028647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04BA1" w:rsidRDefault="00404BA1" w:rsidP="0028647D">
      <w:pPr>
        <w:jc w:val="both"/>
        <w:rPr>
          <w:sz w:val="24"/>
          <w:szCs w:val="24"/>
        </w:rPr>
      </w:pPr>
    </w:p>
    <w:p w:rsidR="008A6AC7" w:rsidRDefault="008A7AE7" w:rsidP="002864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AAMC lists 135 Masters </w:t>
      </w:r>
      <w:r w:rsidR="005945F4">
        <w:rPr>
          <w:sz w:val="24"/>
          <w:szCs w:val="24"/>
        </w:rPr>
        <w:t>Programs</w:t>
      </w:r>
      <w:r>
        <w:rPr>
          <w:sz w:val="24"/>
          <w:szCs w:val="24"/>
        </w:rPr>
        <w:t xml:space="preserve"> that serve as ‘career enhancers’.  108 of these are listed as 9-12 month programs.  Only 27 list minimum completion times greater than one year and most of these are e</w:t>
      </w:r>
      <w:r w:rsidR="005945F4">
        <w:rPr>
          <w:sz w:val="24"/>
          <w:szCs w:val="24"/>
        </w:rPr>
        <w:t xml:space="preserve">ither thesis based MS programs or </w:t>
      </w:r>
      <w:r>
        <w:rPr>
          <w:sz w:val="24"/>
          <w:szCs w:val="24"/>
        </w:rPr>
        <w:t xml:space="preserve">programs with extensive experiential learning, and at schools that offer a 1 year option.  In Illinois, only one (Loyola) is listed as a minimum 2 year program, and this program requires a thesis.  </w:t>
      </w:r>
      <w:r w:rsidR="002E3708">
        <w:rPr>
          <w:sz w:val="24"/>
          <w:szCs w:val="24"/>
        </w:rPr>
        <w:t xml:space="preserve">Loyola also has other programs with 1 year options.  </w:t>
      </w:r>
      <w:r>
        <w:rPr>
          <w:sz w:val="24"/>
          <w:szCs w:val="24"/>
        </w:rPr>
        <w:t>One program (RUSH) even has a 20 credit hour semester built into the curriculum.</w:t>
      </w:r>
      <w:r w:rsidR="002E3708">
        <w:rPr>
          <w:sz w:val="24"/>
          <w:szCs w:val="24"/>
        </w:rPr>
        <w:t xml:space="preserve">  To be competitive in the market the IIT MSHP will need to allow students to complete the program in one year.</w:t>
      </w:r>
    </w:p>
    <w:p w:rsidR="00E0253C" w:rsidRPr="00E0253C" w:rsidRDefault="00E0253C" w:rsidP="0028647D">
      <w:pPr>
        <w:jc w:val="both"/>
        <w:rPr>
          <w:sz w:val="24"/>
          <w:szCs w:val="24"/>
        </w:rPr>
      </w:pPr>
    </w:p>
    <w:p w:rsidR="0028647D" w:rsidRDefault="0028647D" w:rsidP="0028647D">
      <w:pPr>
        <w:jc w:val="both"/>
        <w:rPr>
          <w:b/>
          <w:sz w:val="24"/>
          <w:szCs w:val="24"/>
        </w:rPr>
      </w:pPr>
    </w:p>
    <w:p w:rsidR="00A52A7D" w:rsidRDefault="00F05C72" w:rsidP="0028647D">
      <w:pPr>
        <w:jc w:val="both"/>
        <w:rPr>
          <w:sz w:val="24"/>
          <w:szCs w:val="24"/>
        </w:rPr>
      </w:pPr>
      <w:r w:rsidRPr="008A6AC7">
        <w:rPr>
          <w:b/>
          <w:sz w:val="24"/>
          <w:szCs w:val="24"/>
        </w:rPr>
        <w:t>201</w:t>
      </w:r>
      <w:r w:rsidR="005945F4">
        <w:rPr>
          <w:b/>
          <w:sz w:val="24"/>
          <w:szCs w:val="24"/>
        </w:rPr>
        <w:t>6</w:t>
      </w:r>
      <w:r w:rsidRPr="008A6AC7">
        <w:rPr>
          <w:b/>
          <w:sz w:val="24"/>
          <w:szCs w:val="24"/>
        </w:rPr>
        <w:t xml:space="preserve"> </w:t>
      </w:r>
      <w:r w:rsidR="004B48A8">
        <w:rPr>
          <w:b/>
          <w:sz w:val="24"/>
          <w:szCs w:val="24"/>
        </w:rPr>
        <w:t>Class</w:t>
      </w:r>
      <w:r w:rsidR="00E9630C" w:rsidRPr="008A6AC7">
        <w:rPr>
          <w:b/>
          <w:sz w:val="24"/>
          <w:szCs w:val="24"/>
        </w:rPr>
        <w:t>:</w:t>
      </w:r>
      <w:r w:rsidR="002E3708">
        <w:rPr>
          <w:sz w:val="24"/>
          <w:szCs w:val="24"/>
        </w:rPr>
        <w:t xml:space="preserve">  </w:t>
      </w:r>
      <w:r w:rsidR="005945F4">
        <w:rPr>
          <w:sz w:val="24"/>
          <w:szCs w:val="24"/>
        </w:rPr>
        <w:t>16 students were enrolled in the program beginning the 2016-2017 academic year</w:t>
      </w:r>
      <w:r w:rsidR="00404BA1">
        <w:rPr>
          <w:sz w:val="24"/>
          <w:szCs w:val="24"/>
        </w:rPr>
        <w:t>, with</w:t>
      </w:r>
      <w:r w:rsidR="0016601D">
        <w:rPr>
          <w:sz w:val="24"/>
          <w:szCs w:val="24"/>
        </w:rPr>
        <w:t xml:space="preserve"> </w:t>
      </w:r>
      <w:r w:rsidR="00404BA1">
        <w:rPr>
          <w:sz w:val="24"/>
          <w:szCs w:val="24"/>
        </w:rPr>
        <w:t xml:space="preserve">2 </w:t>
      </w:r>
      <w:r w:rsidR="0016601D">
        <w:rPr>
          <w:sz w:val="24"/>
          <w:szCs w:val="24"/>
        </w:rPr>
        <w:t xml:space="preserve">starting in Spring 2017.  </w:t>
      </w:r>
      <w:r w:rsidR="00897DFC">
        <w:rPr>
          <w:sz w:val="24"/>
          <w:szCs w:val="24"/>
        </w:rPr>
        <w:t>7 students enrolled in more than 9-10 credits their first semester.  3 of those completed the degree in May 2017, two with a GPA of 3.4 and one with a GPA of 3.0 (while working full time with a job that required travel).  One of those 7 cheated on an exam in the fall and did not return in the spring.  One of the 7 decreased spring credit hours to 6 despite earning a 3.72 GPA taking 15 credits in the fall.  2 decreased enrollment considerably but still continue to struggle</w:t>
      </w:r>
      <w:r w:rsidR="00305B98">
        <w:rPr>
          <w:sz w:val="24"/>
          <w:szCs w:val="24"/>
        </w:rPr>
        <w:t xml:space="preserve"> and are still on probation</w:t>
      </w:r>
      <w:r w:rsidR="00897DFC">
        <w:rPr>
          <w:sz w:val="24"/>
          <w:szCs w:val="24"/>
        </w:rPr>
        <w:t>.</w:t>
      </w:r>
      <w:r w:rsidR="00305B98">
        <w:rPr>
          <w:sz w:val="24"/>
          <w:szCs w:val="24"/>
        </w:rPr>
        <w:t xml:space="preserve">  </w:t>
      </w:r>
      <w:r w:rsidR="0016601D">
        <w:rPr>
          <w:sz w:val="24"/>
          <w:szCs w:val="24"/>
        </w:rPr>
        <w:t xml:space="preserve">These two will likely continue to struggle to meet the 3.0 GPA minimum for graduation.  </w:t>
      </w:r>
      <w:r w:rsidR="00305B98">
        <w:rPr>
          <w:sz w:val="24"/>
          <w:szCs w:val="24"/>
        </w:rPr>
        <w:t xml:space="preserve">They will be </w:t>
      </w:r>
      <w:r w:rsidR="00404BA1">
        <w:rPr>
          <w:sz w:val="24"/>
          <w:szCs w:val="24"/>
        </w:rPr>
        <w:t xml:space="preserve">on probation </w:t>
      </w:r>
      <w:r w:rsidR="00305B98">
        <w:rPr>
          <w:sz w:val="24"/>
          <w:szCs w:val="24"/>
        </w:rPr>
        <w:t>until they can replace poor grades and/or start earning A grades in classes.</w:t>
      </w:r>
      <w:r w:rsidR="00897DFC">
        <w:rPr>
          <w:sz w:val="24"/>
          <w:szCs w:val="24"/>
        </w:rPr>
        <w:t xml:space="preserve">  3 of the 16 students are only part-time (less than </w:t>
      </w:r>
      <w:r w:rsidR="00897DFC">
        <w:rPr>
          <w:sz w:val="24"/>
          <w:szCs w:val="24"/>
        </w:rPr>
        <w:lastRenderedPageBreak/>
        <w:t>9 credits)</w:t>
      </w:r>
      <w:r w:rsidR="00305B98">
        <w:rPr>
          <w:sz w:val="24"/>
          <w:szCs w:val="24"/>
        </w:rPr>
        <w:t xml:space="preserve"> with one on probation despite improvement from semester one to semester two</w:t>
      </w:r>
      <w:r w:rsidR="00897DFC">
        <w:rPr>
          <w:sz w:val="24"/>
          <w:szCs w:val="24"/>
        </w:rPr>
        <w:t>.</w:t>
      </w:r>
      <w:r w:rsidR="00305B98">
        <w:rPr>
          <w:sz w:val="24"/>
          <w:szCs w:val="24"/>
        </w:rPr>
        <w:t xml:space="preserve">  The 6 remaining GPAs for the first semester (9credits) range from 2.33-4.0.  The student with the 2.33GPA improved to 3.66 the second semester after adjusting to going to school again.</w:t>
      </w:r>
    </w:p>
    <w:p w:rsidR="002E3708" w:rsidRDefault="002E3708" w:rsidP="005E3A9C">
      <w:pPr>
        <w:rPr>
          <w:sz w:val="24"/>
          <w:szCs w:val="24"/>
        </w:rPr>
      </w:pPr>
    </w:p>
    <w:p w:rsidR="0028647D" w:rsidRDefault="0028647D" w:rsidP="005E3A9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DE6B472" wp14:editId="5285932F">
            <wp:extent cx="4519083" cy="3228975"/>
            <wp:effectExtent l="0" t="0" r="15240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2A52E9-AE3D-4A66-BDEC-4B2942AEE0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3708" w:rsidRDefault="002E3708" w:rsidP="005E3A9C">
      <w:pPr>
        <w:rPr>
          <w:sz w:val="24"/>
          <w:szCs w:val="24"/>
        </w:rPr>
      </w:pPr>
      <w:r>
        <w:rPr>
          <w:sz w:val="24"/>
          <w:szCs w:val="24"/>
        </w:rPr>
        <w:t>Graph of combined GPA data for the academic year.</w:t>
      </w:r>
    </w:p>
    <w:p w:rsidR="002E3708" w:rsidRDefault="002E3708" w:rsidP="005E3A9C">
      <w:pPr>
        <w:rPr>
          <w:sz w:val="24"/>
          <w:szCs w:val="24"/>
        </w:rPr>
      </w:pPr>
    </w:p>
    <w:p w:rsidR="002E3708" w:rsidRDefault="002E3708" w:rsidP="0028647D">
      <w:pPr>
        <w:jc w:val="both"/>
        <w:rPr>
          <w:sz w:val="24"/>
          <w:szCs w:val="24"/>
        </w:rPr>
      </w:pPr>
      <w:r>
        <w:rPr>
          <w:sz w:val="24"/>
          <w:szCs w:val="24"/>
        </w:rPr>
        <w:t>As seen by the data of earned average GPA per credit hour, there is no significant difference between students who enroll part time</w:t>
      </w:r>
      <w:r w:rsidR="00D47BEB">
        <w:rPr>
          <w:sz w:val="24"/>
          <w:szCs w:val="24"/>
        </w:rPr>
        <w:t xml:space="preserve"> (&lt;= 6 </w:t>
      </w:r>
      <w:proofErr w:type="spellStart"/>
      <w:r w:rsidR="00D47BEB">
        <w:rPr>
          <w:sz w:val="24"/>
          <w:szCs w:val="24"/>
        </w:rPr>
        <w:t>ch</w:t>
      </w:r>
      <w:proofErr w:type="spellEnd"/>
      <w:r w:rsidR="00D47BEB">
        <w:rPr>
          <w:sz w:val="24"/>
          <w:szCs w:val="24"/>
        </w:rPr>
        <w:t xml:space="preserve">) </w:t>
      </w:r>
      <w:r w:rsidR="00566DCC">
        <w:rPr>
          <w:sz w:val="24"/>
          <w:szCs w:val="24"/>
        </w:rPr>
        <w:t xml:space="preserve">, with an average graduate load (7-9 </w:t>
      </w:r>
      <w:proofErr w:type="spellStart"/>
      <w:r w:rsidR="00566DCC">
        <w:rPr>
          <w:sz w:val="24"/>
          <w:szCs w:val="24"/>
        </w:rPr>
        <w:t>ch</w:t>
      </w:r>
      <w:proofErr w:type="spellEnd"/>
      <w:r w:rsidR="00566DCC">
        <w:rPr>
          <w:sz w:val="24"/>
          <w:szCs w:val="24"/>
        </w:rPr>
        <w:t xml:space="preserve">), </w:t>
      </w:r>
      <w:r w:rsidR="00D47BEB">
        <w:rPr>
          <w:sz w:val="24"/>
          <w:szCs w:val="24"/>
        </w:rPr>
        <w:t xml:space="preserve"> a </w:t>
      </w:r>
      <w:r w:rsidR="00566DCC">
        <w:rPr>
          <w:sz w:val="24"/>
          <w:szCs w:val="24"/>
        </w:rPr>
        <w:t xml:space="preserve">moderately elevated load, or even a typical UG load of 16-18 </w:t>
      </w:r>
      <w:proofErr w:type="spellStart"/>
      <w:r w:rsidR="00566DCC">
        <w:rPr>
          <w:sz w:val="24"/>
          <w:szCs w:val="24"/>
        </w:rPr>
        <w:t>ch</w:t>
      </w:r>
      <w:r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  You will find students with low, moderate, and </w:t>
      </w:r>
      <w:r w:rsidR="003B77D4">
        <w:rPr>
          <w:sz w:val="24"/>
          <w:szCs w:val="24"/>
        </w:rPr>
        <w:t xml:space="preserve">high </w:t>
      </w:r>
      <w:bookmarkStart w:id="0" w:name="_GoBack"/>
      <w:bookmarkEnd w:id="0"/>
      <w:r>
        <w:rPr>
          <w:sz w:val="24"/>
          <w:szCs w:val="24"/>
        </w:rPr>
        <w:t>GPA in each category</w:t>
      </w:r>
      <w:r w:rsidR="003B77D4">
        <w:rPr>
          <w:sz w:val="24"/>
          <w:szCs w:val="24"/>
        </w:rPr>
        <w:t xml:space="preserve">, and no </w:t>
      </w:r>
      <w:r w:rsidR="00566DCC">
        <w:rPr>
          <w:sz w:val="24"/>
          <w:szCs w:val="24"/>
        </w:rPr>
        <w:t>GPA cohort is statistically different from any other</w:t>
      </w:r>
      <w:r>
        <w:rPr>
          <w:sz w:val="24"/>
          <w:szCs w:val="24"/>
        </w:rPr>
        <w:t xml:space="preserve">.  This clearly indicates that </w:t>
      </w:r>
      <w:r w:rsidR="0028647D">
        <w:rPr>
          <w:sz w:val="24"/>
          <w:szCs w:val="24"/>
        </w:rPr>
        <w:t xml:space="preserve">certain </w:t>
      </w:r>
      <w:r>
        <w:rPr>
          <w:sz w:val="24"/>
          <w:szCs w:val="24"/>
        </w:rPr>
        <w:t>students</w:t>
      </w:r>
      <w:r w:rsidR="0028647D">
        <w:rPr>
          <w:sz w:val="24"/>
          <w:szCs w:val="24"/>
        </w:rPr>
        <w:t xml:space="preserve">, when properly advised, </w:t>
      </w:r>
      <w:r>
        <w:rPr>
          <w:sz w:val="24"/>
          <w:szCs w:val="24"/>
        </w:rPr>
        <w:t>can successfully c</w:t>
      </w:r>
      <w:r w:rsidR="0028647D">
        <w:rPr>
          <w:sz w:val="24"/>
          <w:szCs w:val="24"/>
        </w:rPr>
        <w:t>omplete the program in 1 year</w:t>
      </w:r>
      <w:r w:rsidR="00566DCC">
        <w:rPr>
          <w:sz w:val="24"/>
          <w:szCs w:val="24"/>
        </w:rPr>
        <w:t xml:space="preserve"> (which takes 16 </w:t>
      </w:r>
      <w:proofErr w:type="spellStart"/>
      <w:r w:rsidR="00566DCC">
        <w:rPr>
          <w:sz w:val="24"/>
          <w:szCs w:val="24"/>
        </w:rPr>
        <w:t>ch</w:t>
      </w:r>
      <w:proofErr w:type="spellEnd"/>
      <w:r w:rsidR="00566DCC">
        <w:rPr>
          <w:sz w:val="24"/>
          <w:szCs w:val="24"/>
        </w:rPr>
        <w:t xml:space="preserve"> /</w:t>
      </w:r>
      <w:proofErr w:type="spellStart"/>
      <w:proofErr w:type="gramStart"/>
      <w:r w:rsidR="00566DCC">
        <w:rPr>
          <w:sz w:val="24"/>
          <w:szCs w:val="24"/>
        </w:rPr>
        <w:t>sem</w:t>
      </w:r>
      <w:proofErr w:type="spellEnd"/>
      <w:proofErr w:type="gramEnd"/>
      <w:r w:rsidR="003B77D4">
        <w:rPr>
          <w:sz w:val="24"/>
          <w:szCs w:val="24"/>
        </w:rPr>
        <w:t xml:space="preserve"> given current course offerings</w:t>
      </w:r>
      <w:r w:rsidR="00566DCC">
        <w:rPr>
          <w:sz w:val="24"/>
          <w:szCs w:val="24"/>
        </w:rPr>
        <w:t>)</w:t>
      </w:r>
      <w:r w:rsidR="0028647D">
        <w:rPr>
          <w:sz w:val="24"/>
          <w:szCs w:val="24"/>
        </w:rPr>
        <w:t>. Clearly the program accepts a wide range of students, with different</w:t>
      </w:r>
      <w:r w:rsidR="003B77D4">
        <w:rPr>
          <w:sz w:val="24"/>
          <w:szCs w:val="24"/>
        </w:rPr>
        <w:t xml:space="preserve"> </w:t>
      </w:r>
      <w:r w:rsidR="0028647D">
        <w:rPr>
          <w:sz w:val="24"/>
          <w:szCs w:val="24"/>
        </w:rPr>
        <w:t xml:space="preserve">levels of commitment and ability, and drive, and in different circumstances. However, there is no basis to conclude that students in the &gt; 15 </w:t>
      </w:r>
      <w:proofErr w:type="spellStart"/>
      <w:r w:rsidR="0028647D">
        <w:rPr>
          <w:sz w:val="24"/>
          <w:szCs w:val="24"/>
        </w:rPr>
        <w:t>ch</w:t>
      </w:r>
      <w:proofErr w:type="spellEnd"/>
      <w:r w:rsidR="0028647D">
        <w:rPr>
          <w:sz w:val="24"/>
          <w:szCs w:val="24"/>
        </w:rPr>
        <w:t xml:space="preserve"> cohort were ill served or acting against either </w:t>
      </w:r>
      <w:proofErr w:type="spellStart"/>
      <w:r w:rsidR="0028647D">
        <w:rPr>
          <w:sz w:val="24"/>
          <w:szCs w:val="24"/>
        </w:rPr>
        <w:t>their</w:t>
      </w:r>
      <w:proofErr w:type="spellEnd"/>
      <w:r w:rsidR="0028647D">
        <w:rPr>
          <w:sz w:val="24"/>
          <w:szCs w:val="24"/>
        </w:rPr>
        <w:t xml:space="preserve">, or IIT’s interests. </w:t>
      </w:r>
      <w:r w:rsidR="00566DCC">
        <w:rPr>
          <w:sz w:val="24"/>
          <w:szCs w:val="24"/>
        </w:rPr>
        <w:t xml:space="preserve"> Indeed, demon</w:t>
      </w:r>
      <w:r w:rsidR="003B77D4">
        <w:rPr>
          <w:sz w:val="24"/>
          <w:szCs w:val="24"/>
        </w:rPr>
        <w:t>strating the ability to handle elevated</w:t>
      </w:r>
      <w:r w:rsidR="00566DCC">
        <w:rPr>
          <w:sz w:val="24"/>
          <w:szCs w:val="24"/>
        </w:rPr>
        <w:t xml:space="preserve"> course load (typical with UG loads) is crucial to the success of many of these students in their ultimate endeavor: gaining admission to medical, dental or other professional school</w:t>
      </w:r>
      <w:r w:rsidR="00D47BEB">
        <w:rPr>
          <w:sz w:val="24"/>
          <w:szCs w:val="24"/>
        </w:rPr>
        <w:t>.</w:t>
      </w:r>
    </w:p>
    <w:sectPr w:rsidR="002E3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72521"/>
    <w:multiLevelType w:val="hybridMultilevel"/>
    <w:tmpl w:val="3D32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605CD"/>
    <w:multiLevelType w:val="hybridMultilevel"/>
    <w:tmpl w:val="1F64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15514"/>
    <w:multiLevelType w:val="hybridMultilevel"/>
    <w:tmpl w:val="56C6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D78AD"/>
    <w:multiLevelType w:val="hybridMultilevel"/>
    <w:tmpl w:val="9EF0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9C"/>
    <w:rsid w:val="00045914"/>
    <w:rsid w:val="00115B39"/>
    <w:rsid w:val="0016601D"/>
    <w:rsid w:val="001F400F"/>
    <w:rsid w:val="001F4A5B"/>
    <w:rsid w:val="002447E2"/>
    <w:rsid w:val="0028647D"/>
    <w:rsid w:val="002E3708"/>
    <w:rsid w:val="00305B98"/>
    <w:rsid w:val="00352B96"/>
    <w:rsid w:val="00377B26"/>
    <w:rsid w:val="00377DC6"/>
    <w:rsid w:val="003B77D4"/>
    <w:rsid w:val="00404BA1"/>
    <w:rsid w:val="004B48A8"/>
    <w:rsid w:val="00566DCC"/>
    <w:rsid w:val="005945F4"/>
    <w:rsid w:val="005E3A9C"/>
    <w:rsid w:val="006674A7"/>
    <w:rsid w:val="006A79C0"/>
    <w:rsid w:val="00724230"/>
    <w:rsid w:val="007C2242"/>
    <w:rsid w:val="00840DDB"/>
    <w:rsid w:val="00880A24"/>
    <w:rsid w:val="00895F0B"/>
    <w:rsid w:val="00897DFC"/>
    <w:rsid w:val="008A6AC7"/>
    <w:rsid w:val="008A7AE7"/>
    <w:rsid w:val="008F15BC"/>
    <w:rsid w:val="009F6C71"/>
    <w:rsid w:val="00A52A7D"/>
    <w:rsid w:val="00AD1CDE"/>
    <w:rsid w:val="00BE6BF6"/>
    <w:rsid w:val="00C76E8B"/>
    <w:rsid w:val="00C96FC1"/>
    <w:rsid w:val="00CE2ACA"/>
    <w:rsid w:val="00CE7B9B"/>
    <w:rsid w:val="00D47BEB"/>
    <w:rsid w:val="00D50E0A"/>
    <w:rsid w:val="00D67845"/>
    <w:rsid w:val="00E0253C"/>
    <w:rsid w:val="00E9630C"/>
    <w:rsid w:val="00EC14D9"/>
    <w:rsid w:val="00F0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176A8-A1D9-42E0-B5B7-C7C37E57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9C"/>
    <w:pPr>
      <w:ind w:left="720"/>
      <w:contextualSpacing/>
    </w:pPr>
  </w:style>
  <w:style w:type="table" w:styleId="TableGrid">
    <w:name w:val="Table Grid"/>
    <w:basedOn w:val="TableNormal"/>
    <w:uiPriority w:val="59"/>
    <w:rsid w:val="00A5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m\NM\administration\MSHP%20and%20MS%20Post%20Bac%20Data%20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AAMC Data on MS Programs-Career</a:t>
            </a:r>
            <a:r>
              <a:rPr lang="en-US" baseline="0"/>
              <a:t> Enhancers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Nationwide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Total</c:v>
                </c:pt>
                <c:pt idx="1">
                  <c:v>1-Year</c:v>
                </c:pt>
                <c:pt idx="2">
                  <c:v>2-Year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135</c:v>
                </c:pt>
                <c:pt idx="1">
                  <c:v>108</c:v>
                </c:pt>
                <c:pt idx="2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58-44EE-9C8B-173B234C551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Chicago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Total</c:v>
                </c:pt>
                <c:pt idx="1">
                  <c:v>1-Year</c:v>
                </c:pt>
                <c:pt idx="2">
                  <c:v>2-Year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9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58-44EE-9C8B-173B234C55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0477856"/>
        <c:axId val="180478416"/>
      </c:barChart>
      <c:catAx>
        <c:axId val="18047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478416"/>
        <c:crosses val="autoZero"/>
        <c:auto val="1"/>
        <c:lblAlgn val="ctr"/>
        <c:lblOffset val="100"/>
        <c:noMultiLvlLbl val="0"/>
      </c:catAx>
      <c:valAx>
        <c:axId val="18047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477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All MSHP  -  f16</a:t>
            </a:r>
            <a:r>
              <a:rPr lang="en-US" baseline="0"/>
              <a:t> s17 </a:t>
            </a:r>
            <a:endParaRPr lang="en-US"/>
          </a:p>
        </c:rich>
      </c:tx>
      <c:layout>
        <c:manualLayout>
          <c:xMode val="edge"/>
          <c:yMode val="edge"/>
          <c:x val="0.3371146314418213"/>
          <c:y val="5.11307767944936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010011248593927"/>
          <c:y val="0.15299412915851274"/>
          <c:w val="0.8460121484814398"/>
          <c:h val="0.6780495246313389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8575">
                <a:solidFill>
                  <a:srgbClr val="FF00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9FE-406A-BF98-1D9A2DC9E10D}"/>
              </c:ext>
            </c:extLst>
          </c:dPt>
          <c:errBars>
            <c:errBarType val="both"/>
            <c:errValType val="cust"/>
            <c:noEndCap val="0"/>
            <c:plus>
              <c:numRef>
                <c:f>all!$I$58:$M$58</c:f>
                <c:numCache>
                  <c:formatCode>General</c:formatCode>
                  <c:ptCount val="5"/>
                  <c:pt idx="0">
                    <c:v>1.1801936887041651</c:v>
                  </c:pt>
                  <c:pt idx="1">
                    <c:v>0.66599758090985484</c:v>
                  </c:pt>
                  <c:pt idx="2">
                    <c:v>0.68912859052988928</c:v>
                  </c:pt>
                  <c:pt idx="3">
                    <c:v>0.854205283679904</c:v>
                  </c:pt>
                  <c:pt idx="4">
                    <c:v>0.66388825795281081</c:v>
                  </c:pt>
                </c:numCache>
              </c:numRef>
            </c:plus>
            <c:minus>
              <c:numRef>
                <c:f>all!$I$58:$M$58</c:f>
                <c:numCache>
                  <c:formatCode>General</c:formatCode>
                  <c:ptCount val="5"/>
                  <c:pt idx="0">
                    <c:v>1.1801936887041651</c:v>
                  </c:pt>
                  <c:pt idx="1">
                    <c:v>0.66599758090985484</c:v>
                  </c:pt>
                  <c:pt idx="2">
                    <c:v>0.68912859052988928</c:v>
                  </c:pt>
                  <c:pt idx="3">
                    <c:v>0.854205283679904</c:v>
                  </c:pt>
                  <c:pt idx="4">
                    <c:v>0.66388825795281081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all!$I$56:$L$56</c:f>
              <c:strCache>
                <c:ptCount val="4"/>
                <c:pt idx="0">
                  <c:v>&lt;= 6 N=7</c:v>
                </c:pt>
                <c:pt idx="1">
                  <c:v>7 to 9 N=9</c:v>
                </c:pt>
                <c:pt idx="2">
                  <c:v>10 to 15* (1 plagiarism) N=8</c:v>
                </c:pt>
                <c:pt idx="3">
                  <c:v>&gt; 15 N=7</c:v>
                </c:pt>
              </c:strCache>
            </c:strRef>
          </c:cat>
          <c:val>
            <c:numRef>
              <c:f>all!$I$57:$L$57</c:f>
              <c:numCache>
                <c:formatCode>General</c:formatCode>
                <c:ptCount val="4"/>
                <c:pt idx="0">
                  <c:v>3.1428571428571428</c:v>
                </c:pt>
                <c:pt idx="1">
                  <c:v>3.1644444444444444</c:v>
                </c:pt>
                <c:pt idx="2">
                  <c:v>2.9712500000000004</c:v>
                </c:pt>
                <c:pt idx="3">
                  <c:v>3.1166666666666667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FE-406A-BF98-1D9A2DC9E1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640752"/>
        <c:axId val="179641312"/>
      </c:barChart>
      <c:catAx>
        <c:axId val="1796407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c.h.  / semester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641312"/>
        <c:crosses val="autoZero"/>
        <c:auto val="1"/>
        <c:lblAlgn val="ctr"/>
        <c:lblOffset val="100"/>
        <c:noMultiLvlLbl val="0"/>
      </c:catAx>
      <c:valAx>
        <c:axId val="179641312"/>
        <c:scaling>
          <c:orientation val="minMax"/>
          <c:max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&lt;GPA&gt;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64075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Spink</dc:creator>
  <cp:lastModifiedBy>KMS</cp:lastModifiedBy>
  <cp:revision>2</cp:revision>
  <dcterms:created xsi:type="dcterms:W3CDTF">2017-08-30T12:45:00Z</dcterms:created>
  <dcterms:modified xsi:type="dcterms:W3CDTF">2017-08-30T12:45:00Z</dcterms:modified>
</cp:coreProperties>
</file>