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D9B2D" w14:textId="77777777" w:rsidR="00622576" w:rsidRDefault="00622576">
      <w:bookmarkStart w:id="0" w:name="_GoBack"/>
      <w:bookmarkEnd w:id="0"/>
    </w:p>
    <w:p w14:paraId="1F46F3DA" w14:textId="77777777" w:rsidR="0042518F" w:rsidRDefault="0042518F"/>
    <w:p w14:paraId="0005B842" w14:textId="77777777" w:rsidR="003B05EA" w:rsidRDefault="003B05EA" w:rsidP="003B05EA">
      <w:pPr>
        <w:pStyle w:val="Title"/>
      </w:pPr>
      <w:r>
        <w:t>IIT-</w:t>
      </w:r>
      <w:r w:rsidR="00B17F6C">
        <w:t>B</w:t>
      </w:r>
      <w:r>
        <w:t xml:space="preserve">iology </w:t>
      </w:r>
      <w:r w:rsidR="00B17F6C">
        <w:t>/ Triton College-B</w:t>
      </w:r>
      <w:r>
        <w:t>iotechnology transfer agreement</w:t>
      </w:r>
      <w:r w:rsidR="001F1C3A">
        <w:t xml:space="preserve"> preliminary</w:t>
      </w:r>
    </w:p>
    <w:p w14:paraId="767A6915" w14:textId="77777777" w:rsidR="007F2037" w:rsidRDefault="003B05EA" w:rsidP="003B05EA">
      <w:r>
        <w:t>V0.1 nm 20jul17</w:t>
      </w:r>
    </w:p>
    <w:p w14:paraId="511E31CE" w14:textId="77777777" w:rsidR="007F2037" w:rsidRDefault="007F2037" w:rsidP="003B05EA">
      <w:r>
        <w:t>Please review and edit.</w:t>
      </w:r>
    </w:p>
    <w:p w14:paraId="0E69981C" w14:textId="77777777" w:rsidR="0042518F" w:rsidRDefault="0042518F" w:rsidP="00001AEA">
      <w:pPr>
        <w:pStyle w:val="Heading1"/>
      </w:pPr>
      <w:r>
        <w:t>Courses transferred</w:t>
      </w:r>
    </w:p>
    <w:p w14:paraId="03FD2FB6" w14:textId="6C348186" w:rsidR="0042518F" w:rsidRDefault="0042518F" w:rsidP="00001AEA">
      <w:pPr>
        <w:jc w:val="both"/>
      </w:pPr>
      <w:r>
        <w:t>The cour</w:t>
      </w:r>
      <w:r w:rsidR="00001AEA">
        <w:t>ses available for transfer fro</w:t>
      </w:r>
      <w:r>
        <w:t>m the Biotec</w:t>
      </w:r>
      <w:r w:rsidR="00001AEA">
        <w:t>h program at T</w:t>
      </w:r>
      <w:r w:rsidR="00F137FD">
        <w:t>rito</w:t>
      </w:r>
      <w:r w:rsidR="007871B6">
        <w:t>n College, T</w:t>
      </w:r>
      <w:r w:rsidR="00001AEA">
        <w:t>C to BS Biology</w:t>
      </w:r>
      <w:r w:rsidR="004911B3">
        <w:t xml:space="preserve"> or Biochemistry</w:t>
      </w:r>
      <w:r w:rsidR="00001AEA">
        <w:t xml:space="preserve"> at IIT</w:t>
      </w:r>
      <w:r w:rsidR="003B05EA">
        <w:t xml:space="preserve"> automati</w:t>
      </w:r>
      <w:r>
        <w:t>cally are illustrated in the attached spreadsheets,</w:t>
      </w:r>
      <w:r w:rsidR="005252AA">
        <w:t xml:space="preserve"> as well as in the </w:t>
      </w:r>
      <w:hyperlink r:id="rId5" w:history="1">
        <w:r w:rsidR="005252AA" w:rsidRPr="007871B6">
          <w:rPr>
            <w:rStyle w:val="Hyperlink"/>
          </w:rPr>
          <w:t>IIT transfer class website</w:t>
        </w:r>
      </w:hyperlink>
      <w:r w:rsidR="005252AA">
        <w:t>,</w:t>
      </w:r>
      <w:r>
        <w:t xml:space="preserve"> but are:</w:t>
      </w:r>
    </w:p>
    <w:tbl>
      <w:tblPr>
        <w:tblStyle w:val="TableGrid"/>
        <w:tblW w:w="9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752"/>
      </w:tblGrid>
      <w:tr w:rsidR="005252AA" w14:paraId="7BF200B5" w14:textId="77777777" w:rsidTr="00001AEA">
        <w:tc>
          <w:tcPr>
            <w:tcW w:w="4675" w:type="dxa"/>
            <w:tcBorders>
              <w:bottom w:val="single" w:sz="4" w:space="0" w:color="auto"/>
              <w:right w:val="single" w:sz="4" w:space="0" w:color="auto"/>
            </w:tcBorders>
          </w:tcPr>
          <w:p w14:paraId="231BFBD0" w14:textId="77777777" w:rsidR="005252AA" w:rsidRPr="00001AEA" w:rsidRDefault="005252AA" w:rsidP="00001AEA">
            <w:pPr>
              <w:jc w:val="center"/>
              <w:rPr>
                <w:b/>
              </w:rPr>
            </w:pPr>
            <w:commentRangeStart w:id="1"/>
            <w:r w:rsidRPr="00001AEA">
              <w:rPr>
                <w:b/>
              </w:rPr>
              <w:t>TC</w:t>
            </w:r>
            <w:commentRangeEnd w:id="1"/>
            <w:r w:rsidR="007871B6">
              <w:rPr>
                <w:rStyle w:val="CommentReference"/>
              </w:rPr>
              <w:commentReference w:id="1"/>
            </w:r>
          </w:p>
        </w:tc>
        <w:tc>
          <w:tcPr>
            <w:tcW w:w="4752" w:type="dxa"/>
            <w:tcBorders>
              <w:left w:val="single" w:sz="4" w:space="0" w:color="auto"/>
              <w:bottom w:val="single" w:sz="4" w:space="0" w:color="auto"/>
            </w:tcBorders>
          </w:tcPr>
          <w:p w14:paraId="039811DD" w14:textId="77777777" w:rsidR="005252AA" w:rsidRPr="00001AEA" w:rsidRDefault="005252AA" w:rsidP="00001AEA">
            <w:pPr>
              <w:jc w:val="center"/>
              <w:rPr>
                <w:b/>
              </w:rPr>
            </w:pPr>
            <w:r w:rsidRPr="00001AEA">
              <w:rPr>
                <w:b/>
              </w:rPr>
              <w:t>IIT</w:t>
            </w:r>
          </w:p>
        </w:tc>
      </w:tr>
      <w:tr w:rsidR="005252AA" w14:paraId="4568B2AE" w14:textId="77777777" w:rsidTr="00001AEA">
        <w:tc>
          <w:tcPr>
            <w:tcW w:w="4675" w:type="dxa"/>
            <w:tcBorders>
              <w:top w:val="single" w:sz="4" w:space="0" w:color="auto"/>
              <w:right w:val="single" w:sz="4" w:space="0" w:color="auto"/>
            </w:tcBorders>
          </w:tcPr>
          <w:p w14:paraId="0E120D27" w14:textId="77777777" w:rsidR="005252AA" w:rsidRDefault="005252AA" w:rsidP="00001AEA">
            <w:pPr>
              <w:ind w:right="341"/>
              <w:jc w:val="right"/>
            </w:pPr>
            <w:r>
              <w:t>BIS150</w:t>
            </w:r>
          </w:p>
        </w:tc>
        <w:tc>
          <w:tcPr>
            <w:tcW w:w="4752" w:type="dxa"/>
            <w:tcBorders>
              <w:top w:val="single" w:sz="4" w:space="0" w:color="auto"/>
              <w:left w:val="single" w:sz="4" w:space="0" w:color="auto"/>
            </w:tcBorders>
          </w:tcPr>
          <w:p w14:paraId="658F4C22" w14:textId="77777777" w:rsidR="005252AA" w:rsidRDefault="005252AA" w:rsidP="00001AEA">
            <w:pPr>
              <w:ind w:left="342"/>
            </w:pPr>
            <w:r>
              <w:t>BIOL107 and 109</w:t>
            </w:r>
          </w:p>
        </w:tc>
      </w:tr>
      <w:tr w:rsidR="005252AA" w14:paraId="24DDDD4E" w14:textId="77777777" w:rsidTr="00001AEA">
        <w:tc>
          <w:tcPr>
            <w:tcW w:w="4675" w:type="dxa"/>
            <w:tcBorders>
              <w:right w:val="single" w:sz="4" w:space="0" w:color="auto"/>
            </w:tcBorders>
          </w:tcPr>
          <w:p w14:paraId="5C9BA07D" w14:textId="77777777" w:rsidR="005252AA" w:rsidRDefault="005252AA" w:rsidP="00001AEA">
            <w:pPr>
              <w:ind w:right="341"/>
              <w:jc w:val="right"/>
            </w:pPr>
            <w:r>
              <w:t>BIS103 or BIS136 (preferred?)</w:t>
            </w:r>
          </w:p>
        </w:tc>
        <w:tc>
          <w:tcPr>
            <w:tcW w:w="4752" w:type="dxa"/>
            <w:tcBorders>
              <w:left w:val="single" w:sz="4" w:space="0" w:color="auto"/>
            </w:tcBorders>
          </w:tcPr>
          <w:p w14:paraId="5968CF19" w14:textId="77777777" w:rsidR="005252AA" w:rsidRDefault="005252AA" w:rsidP="00001AEA">
            <w:pPr>
              <w:ind w:left="342"/>
            </w:pPr>
            <w:r>
              <w:t>BIOL115 and 117</w:t>
            </w:r>
          </w:p>
        </w:tc>
      </w:tr>
      <w:tr w:rsidR="005252AA" w14:paraId="767F4653" w14:textId="77777777" w:rsidTr="00001AEA">
        <w:tc>
          <w:tcPr>
            <w:tcW w:w="4675" w:type="dxa"/>
            <w:tcBorders>
              <w:right w:val="single" w:sz="4" w:space="0" w:color="auto"/>
            </w:tcBorders>
          </w:tcPr>
          <w:p w14:paraId="6E7FD066" w14:textId="77777777" w:rsidR="005252AA" w:rsidRDefault="005252AA" w:rsidP="00001AEA">
            <w:pPr>
              <w:ind w:right="341"/>
              <w:jc w:val="right"/>
            </w:pPr>
            <w:r>
              <w:t>BIS222</w:t>
            </w:r>
          </w:p>
        </w:tc>
        <w:tc>
          <w:tcPr>
            <w:tcW w:w="4752" w:type="dxa"/>
            <w:tcBorders>
              <w:left w:val="single" w:sz="4" w:space="0" w:color="auto"/>
            </w:tcBorders>
          </w:tcPr>
          <w:p w14:paraId="386ADBCE" w14:textId="77777777" w:rsidR="005252AA" w:rsidRDefault="005252AA" w:rsidP="00001AEA">
            <w:pPr>
              <w:ind w:left="342"/>
            </w:pPr>
            <w:r>
              <w:t>BIOL210 and 225</w:t>
            </w:r>
          </w:p>
        </w:tc>
      </w:tr>
      <w:tr w:rsidR="005252AA" w14:paraId="0AE22655" w14:textId="77777777" w:rsidTr="00001AEA">
        <w:tc>
          <w:tcPr>
            <w:tcW w:w="4675" w:type="dxa"/>
            <w:tcBorders>
              <w:right w:val="single" w:sz="4" w:space="0" w:color="auto"/>
            </w:tcBorders>
          </w:tcPr>
          <w:p w14:paraId="0BB9CBDA" w14:textId="77777777" w:rsidR="005252AA" w:rsidRDefault="005252AA" w:rsidP="00001AEA">
            <w:pPr>
              <w:ind w:right="341"/>
              <w:jc w:val="right"/>
            </w:pPr>
            <w:r>
              <w:t>CHM140</w:t>
            </w:r>
          </w:p>
        </w:tc>
        <w:tc>
          <w:tcPr>
            <w:tcW w:w="4752" w:type="dxa"/>
            <w:tcBorders>
              <w:left w:val="single" w:sz="4" w:space="0" w:color="auto"/>
            </w:tcBorders>
          </w:tcPr>
          <w:p w14:paraId="71CE1AAC" w14:textId="77777777" w:rsidR="005252AA" w:rsidRDefault="005252AA" w:rsidP="00001AEA">
            <w:pPr>
              <w:ind w:left="342"/>
            </w:pPr>
            <w:r>
              <w:t>CHEM140</w:t>
            </w:r>
          </w:p>
        </w:tc>
      </w:tr>
      <w:tr w:rsidR="005252AA" w14:paraId="7675E923" w14:textId="77777777" w:rsidTr="00001AEA">
        <w:tc>
          <w:tcPr>
            <w:tcW w:w="4675" w:type="dxa"/>
            <w:tcBorders>
              <w:right w:val="single" w:sz="4" w:space="0" w:color="auto"/>
            </w:tcBorders>
          </w:tcPr>
          <w:p w14:paraId="20E54972" w14:textId="77777777" w:rsidR="005252AA" w:rsidRDefault="005252AA" w:rsidP="00001AEA">
            <w:pPr>
              <w:ind w:right="341"/>
              <w:jc w:val="right"/>
            </w:pPr>
            <w:r>
              <w:t>CHM234</w:t>
            </w:r>
          </w:p>
        </w:tc>
        <w:tc>
          <w:tcPr>
            <w:tcW w:w="4752" w:type="dxa"/>
            <w:tcBorders>
              <w:left w:val="single" w:sz="4" w:space="0" w:color="auto"/>
            </w:tcBorders>
          </w:tcPr>
          <w:p w14:paraId="173F6798" w14:textId="77777777" w:rsidR="005252AA" w:rsidRDefault="005252AA" w:rsidP="00001AEA">
            <w:pPr>
              <w:ind w:left="342"/>
            </w:pPr>
            <w:r>
              <w:t>CHEM237</w:t>
            </w:r>
          </w:p>
        </w:tc>
      </w:tr>
      <w:tr w:rsidR="005252AA" w14:paraId="035A3168" w14:textId="77777777" w:rsidTr="00001AEA">
        <w:tc>
          <w:tcPr>
            <w:tcW w:w="4675" w:type="dxa"/>
            <w:tcBorders>
              <w:right w:val="single" w:sz="4" w:space="0" w:color="auto"/>
            </w:tcBorders>
          </w:tcPr>
          <w:p w14:paraId="247DE964" w14:textId="77777777" w:rsidR="005252AA" w:rsidRDefault="005252AA" w:rsidP="00001AEA">
            <w:pPr>
              <w:ind w:right="341"/>
              <w:jc w:val="right"/>
            </w:pPr>
            <w:r>
              <w:t>MAT131</w:t>
            </w:r>
          </w:p>
        </w:tc>
        <w:tc>
          <w:tcPr>
            <w:tcW w:w="4752" w:type="dxa"/>
            <w:tcBorders>
              <w:left w:val="single" w:sz="4" w:space="0" w:color="auto"/>
            </w:tcBorders>
          </w:tcPr>
          <w:p w14:paraId="0D6F569B" w14:textId="77777777" w:rsidR="005252AA" w:rsidRDefault="005252AA" w:rsidP="00001AEA">
            <w:pPr>
              <w:ind w:left="342"/>
            </w:pPr>
            <w:r>
              <w:t>MATH151</w:t>
            </w:r>
          </w:p>
        </w:tc>
      </w:tr>
      <w:tr w:rsidR="005252AA" w14:paraId="532B9DBC" w14:textId="77777777" w:rsidTr="00001AEA">
        <w:tc>
          <w:tcPr>
            <w:tcW w:w="4675" w:type="dxa"/>
            <w:tcBorders>
              <w:right w:val="single" w:sz="4" w:space="0" w:color="auto"/>
            </w:tcBorders>
          </w:tcPr>
          <w:p w14:paraId="362625FE" w14:textId="77777777" w:rsidR="005252AA" w:rsidRDefault="005252AA" w:rsidP="00001AEA">
            <w:pPr>
              <w:ind w:right="341"/>
              <w:jc w:val="right"/>
            </w:pPr>
            <w:r>
              <w:t>CIS121</w:t>
            </w:r>
          </w:p>
        </w:tc>
        <w:tc>
          <w:tcPr>
            <w:tcW w:w="4752" w:type="dxa"/>
            <w:tcBorders>
              <w:left w:val="single" w:sz="4" w:space="0" w:color="auto"/>
            </w:tcBorders>
          </w:tcPr>
          <w:p w14:paraId="708C587D" w14:textId="77777777" w:rsidR="005252AA" w:rsidRDefault="005252AA" w:rsidP="00001AEA">
            <w:pPr>
              <w:ind w:left="342"/>
            </w:pPr>
            <w:r>
              <w:t>CS105</w:t>
            </w:r>
          </w:p>
        </w:tc>
      </w:tr>
      <w:tr w:rsidR="005252AA" w14:paraId="2BFC545A" w14:textId="77777777" w:rsidTr="00001AEA">
        <w:tc>
          <w:tcPr>
            <w:tcW w:w="4675" w:type="dxa"/>
            <w:tcBorders>
              <w:right w:val="single" w:sz="4" w:space="0" w:color="auto"/>
            </w:tcBorders>
          </w:tcPr>
          <w:p w14:paraId="4B4F058B" w14:textId="77777777" w:rsidR="005252AA" w:rsidRDefault="005252AA" w:rsidP="00001AEA">
            <w:pPr>
              <w:ind w:right="341"/>
              <w:jc w:val="right"/>
            </w:pPr>
            <w:r>
              <w:t>PHL103</w:t>
            </w:r>
          </w:p>
        </w:tc>
        <w:tc>
          <w:tcPr>
            <w:tcW w:w="4752" w:type="dxa"/>
            <w:tcBorders>
              <w:left w:val="single" w:sz="4" w:space="0" w:color="auto"/>
            </w:tcBorders>
          </w:tcPr>
          <w:p w14:paraId="319493F1" w14:textId="77777777" w:rsidR="005252AA" w:rsidRDefault="005252AA" w:rsidP="00001AEA">
            <w:pPr>
              <w:ind w:left="342"/>
            </w:pPr>
            <w:r>
              <w:t>HUM</w:t>
            </w:r>
            <w:r w:rsidR="00C06D94">
              <w:t>190</w:t>
            </w:r>
          </w:p>
        </w:tc>
      </w:tr>
      <w:tr w:rsidR="005252AA" w14:paraId="1E533863" w14:textId="77777777" w:rsidTr="00001AEA">
        <w:tc>
          <w:tcPr>
            <w:tcW w:w="4675" w:type="dxa"/>
            <w:tcBorders>
              <w:right w:val="single" w:sz="4" w:space="0" w:color="auto"/>
            </w:tcBorders>
          </w:tcPr>
          <w:p w14:paraId="0A3CC555" w14:textId="77777777" w:rsidR="005252AA" w:rsidRDefault="005252AA" w:rsidP="00001AEA">
            <w:pPr>
              <w:ind w:right="341"/>
              <w:jc w:val="right"/>
            </w:pPr>
            <w:r>
              <w:t>SOC100</w:t>
            </w:r>
          </w:p>
        </w:tc>
        <w:tc>
          <w:tcPr>
            <w:tcW w:w="4752" w:type="dxa"/>
            <w:tcBorders>
              <w:left w:val="single" w:sz="4" w:space="0" w:color="auto"/>
            </w:tcBorders>
          </w:tcPr>
          <w:p w14:paraId="586B100A" w14:textId="77777777" w:rsidR="005252AA" w:rsidRDefault="005252AA" w:rsidP="00001AEA">
            <w:pPr>
              <w:ind w:left="342"/>
            </w:pPr>
            <w:r>
              <w:t>SOC190</w:t>
            </w:r>
          </w:p>
        </w:tc>
      </w:tr>
    </w:tbl>
    <w:p w14:paraId="79A6DEE4" w14:textId="77777777" w:rsidR="005252AA" w:rsidRDefault="005252AA"/>
    <w:p w14:paraId="11C1C21F" w14:textId="68DC8BD0" w:rsidR="00B17F6C" w:rsidRDefault="00B17F6C" w:rsidP="00001AEA">
      <w:pPr>
        <w:jc w:val="both"/>
      </w:pPr>
      <w:r>
        <w:t>These are as determined by IIT Undergraduate academic affairs, UGAA, and are available to any transfer student independent of this program. In addition, other classes as certified by IIT UGAA are available for student at TC to transfer to IIT</w:t>
      </w:r>
      <w:r w:rsidR="007871B6">
        <w:t>, up to a maximum of 68 c</w:t>
      </w:r>
      <w:r w:rsidR="00F137FD">
        <w:t>redit hours</w:t>
      </w:r>
      <w:r w:rsidR="007871B6">
        <w:t>.</w:t>
      </w:r>
      <w:r>
        <w:t xml:space="preserve"> UGAA determines transferability of courses, and does this independently for 100 and 200 level classes, and works in consultation with IIT departments for 300 and 400 level classes. </w:t>
      </w:r>
    </w:p>
    <w:p w14:paraId="5140EB50" w14:textId="77777777" w:rsidR="00B17F6C" w:rsidRDefault="0042518F" w:rsidP="003B05EA">
      <w:r>
        <w:t xml:space="preserve">In addition, for </w:t>
      </w:r>
      <w:r w:rsidR="00B17F6C">
        <w:t>student</w:t>
      </w:r>
      <w:r w:rsidR="007871B6">
        <w:t>s</w:t>
      </w:r>
      <w:r w:rsidR="00B17F6C">
        <w:t xml:space="preserve"> who g</w:t>
      </w:r>
      <w:r w:rsidR="007871B6">
        <w:t>ain admission to</w:t>
      </w:r>
      <w:r w:rsidR="00B17F6C">
        <w:t xml:space="preserve"> this</w:t>
      </w:r>
      <w:r>
        <w:t xml:space="preserve"> a transfer articulation program,</w:t>
      </w:r>
      <w:r w:rsidR="00B17F6C">
        <w:t xml:space="preserve"> we will approve transfer of two additional classes in the TC biotechnology program </w:t>
      </w:r>
      <w:r>
        <w:t>to IIT</w:t>
      </w:r>
      <w:r w:rsidR="00B17F6C">
        <w:t xml:space="preserv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3515"/>
        <w:gridCol w:w="5390"/>
      </w:tblGrid>
      <w:tr w:rsidR="00B17F6C" w14:paraId="773E5707" w14:textId="77777777" w:rsidTr="00001AEA">
        <w:tc>
          <w:tcPr>
            <w:tcW w:w="445" w:type="dxa"/>
          </w:tcPr>
          <w:p w14:paraId="429043EA" w14:textId="77777777" w:rsidR="00B17F6C" w:rsidRPr="00B17F6C" w:rsidRDefault="00B17F6C" w:rsidP="004A7A52">
            <w:pPr>
              <w:rPr>
                <w:b/>
              </w:rPr>
            </w:pPr>
            <w:r w:rsidRPr="00B17F6C">
              <w:rPr>
                <w:b/>
              </w:rPr>
              <w:t>1.</w:t>
            </w:r>
          </w:p>
        </w:tc>
        <w:tc>
          <w:tcPr>
            <w:tcW w:w="3515" w:type="dxa"/>
          </w:tcPr>
          <w:p w14:paraId="338A3868" w14:textId="77777777" w:rsidR="00B17F6C" w:rsidRDefault="00B17F6C" w:rsidP="004A7A52">
            <w:r>
              <w:t>TC BIOT 240</w:t>
            </w:r>
          </w:p>
        </w:tc>
        <w:tc>
          <w:tcPr>
            <w:tcW w:w="5390" w:type="dxa"/>
          </w:tcPr>
          <w:p w14:paraId="58A2C3CC" w14:textId="77777777" w:rsidR="00B17F6C" w:rsidRDefault="00B17F6C" w:rsidP="007F2037">
            <w:pPr>
              <w:ind w:left="342" w:hanging="342"/>
            </w:pPr>
            <w:r>
              <w:t>IIT technical elective</w:t>
            </w:r>
            <w:r w:rsidR="00001AEA">
              <w:t xml:space="preserve"> within BS Biology or Biochemistry</w:t>
            </w:r>
          </w:p>
        </w:tc>
      </w:tr>
      <w:tr w:rsidR="00B17F6C" w14:paraId="73E706C1" w14:textId="77777777" w:rsidTr="00001AEA">
        <w:tc>
          <w:tcPr>
            <w:tcW w:w="445" w:type="dxa"/>
          </w:tcPr>
          <w:p w14:paraId="2D9D934B" w14:textId="77777777" w:rsidR="00B17F6C" w:rsidRPr="00B17F6C" w:rsidRDefault="00B17F6C" w:rsidP="004A7A52">
            <w:pPr>
              <w:rPr>
                <w:b/>
              </w:rPr>
            </w:pPr>
            <w:r w:rsidRPr="00B17F6C">
              <w:rPr>
                <w:b/>
              </w:rPr>
              <w:t>2.</w:t>
            </w:r>
          </w:p>
        </w:tc>
        <w:tc>
          <w:tcPr>
            <w:tcW w:w="3515" w:type="dxa"/>
          </w:tcPr>
          <w:p w14:paraId="11285F84" w14:textId="77777777" w:rsidR="00B17F6C" w:rsidRDefault="00B17F6C" w:rsidP="004A7A52">
            <w:r>
              <w:t>TC BIOT 230</w:t>
            </w:r>
          </w:p>
        </w:tc>
        <w:tc>
          <w:tcPr>
            <w:tcW w:w="5390" w:type="dxa"/>
          </w:tcPr>
          <w:p w14:paraId="54E5186E" w14:textId="77777777" w:rsidR="00B17F6C" w:rsidRDefault="00B17F6C" w:rsidP="007F2037">
            <w:pPr>
              <w:ind w:left="342" w:hanging="342"/>
            </w:pPr>
            <w:r>
              <w:t>IIT free 400 level lab requirement</w:t>
            </w:r>
            <w:r w:rsidR="007F2037">
              <w:t xml:space="preserve"> within BS Biology or Biochemistry</w:t>
            </w:r>
          </w:p>
        </w:tc>
      </w:tr>
    </w:tbl>
    <w:p w14:paraId="00FB0F4E" w14:textId="15CE311F" w:rsidR="003B05EA" w:rsidRDefault="0042518F" w:rsidP="004911B3">
      <w:pPr>
        <w:spacing w:before="240"/>
        <w:jc w:val="both"/>
      </w:pPr>
      <w:r>
        <w:t>These</w:t>
      </w:r>
      <w:r w:rsidR="00B17F6C">
        <w:t xml:space="preserve"> IIT requirements</w:t>
      </w:r>
      <w:r>
        <w:t xml:space="preserve"> are both 300 or greater level, which would normally preclud</w:t>
      </w:r>
      <w:r w:rsidR="003B05EA">
        <w:t xml:space="preserve">e transfer of course credit from a </w:t>
      </w:r>
      <w:r w:rsidR="003F4F24">
        <w:t>2-year</w:t>
      </w:r>
      <w:r w:rsidR="003B05EA">
        <w:t xml:space="preserve"> institut</w:t>
      </w:r>
      <w:r>
        <w:t>ion by IIT policy</w:t>
      </w:r>
      <w:r w:rsidR="00B17F6C">
        <w:t>. However,</w:t>
      </w:r>
      <w:r>
        <w:t xml:space="preserve"> such transfer is possible within the context of an articulation agreement. As such, such an </w:t>
      </w:r>
      <w:r w:rsidR="003B05EA">
        <w:t>agreement must exist, and studen</w:t>
      </w:r>
      <w:r>
        <w:t>t</w:t>
      </w:r>
      <w:r w:rsidR="003B05EA">
        <w:t xml:space="preserve">s wish to do this must somehow </w:t>
      </w:r>
      <w:r>
        <w:t>b</w:t>
      </w:r>
      <w:r w:rsidR="003B05EA">
        <w:t>e</w:t>
      </w:r>
      <w:r>
        <w:t xml:space="preserve"> fo</w:t>
      </w:r>
      <w:r w:rsidR="003B05EA">
        <w:t>r</w:t>
      </w:r>
      <w:r>
        <w:t>mally be accepted into such a program</w:t>
      </w:r>
      <w:r w:rsidR="003B05EA">
        <w:t xml:space="preserve">.  Once approved the following transfer credit will be given within BS Biology or Biochemistry, </w:t>
      </w:r>
      <w:r w:rsidR="003B05EA" w:rsidRPr="003B05EA">
        <w:rPr>
          <w:b/>
        </w:rPr>
        <w:t>so long as they ob</w:t>
      </w:r>
      <w:r w:rsidR="00B17F6C">
        <w:rPr>
          <w:b/>
        </w:rPr>
        <w:t xml:space="preserve">tain a grade of B or better in </w:t>
      </w:r>
      <w:r w:rsidR="003B05EA" w:rsidRPr="003B05EA">
        <w:rPr>
          <w:b/>
        </w:rPr>
        <w:t xml:space="preserve">these </w:t>
      </w:r>
      <w:commentRangeStart w:id="2"/>
      <w:r w:rsidR="003B05EA" w:rsidRPr="003B05EA">
        <w:rPr>
          <w:b/>
        </w:rPr>
        <w:t>classes</w:t>
      </w:r>
      <w:commentRangeEnd w:id="2"/>
      <w:r w:rsidR="007871B6">
        <w:rPr>
          <w:rStyle w:val="CommentReference"/>
        </w:rPr>
        <w:commentReference w:id="2"/>
      </w:r>
      <w:r w:rsidR="003B05EA">
        <w:t xml:space="preserve">. </w:t>
      </w:r>
      <w:r w:rsidR="003B05EA">
        <w:lastRenderedPageBreak/>
        <w:t>(Please note that this is higher than the normal requirement of C or better for transfer of 100 and 200 level classes.)</w:t>
      </w:r>
    </w:p>
    <w:p w14:paraId="3A86DA1C" w14:textId="77777777" w:rsidR="0042518F" w:rsidRDefault="004911B3" w:rsidP="004911B3">
      <w:pPr>
        <w:pStyle w:val="Heading1"/>
      </w:pPr>
      <w:r>
        <w:t>A</w:t>
      </w:r>
      <w:r w:rsidR="005252AA">
        <w:t>cceptance</w:t>
      </w:r>
      <w:r>
        <w:t xml:space="preserve"> in to program</w:t>
      </w:r>
    </w:p>
    <w:p w14:paraId="626A358B" w14:textId="77777777" w:rsidR="0042518F" w:rsidRDefault="00B17F6C">
      <w:r>
        <w:t>Students may gain admission</w:t>
      </w:r>
      <w:r w:rsidR="0042518F">
        <w:t xml:space="preserve"> into the program by</w:t>
      </w:r>
    </w:p>
    <w:p w14:paraId="1F9504D8" w14:textId="77777777" w:rsidR="0042518F" w:rsidRDefault="0042518F" w:rsidP="007871B6">
      <w:pPr>
        <w:pStyle w:val="ListParagraph"/>
        <w:numPr>
          <w:ilvl w:val="0"/>
          <w:numId w:val="1"/>
        </w:numPr>
        <w:jc w:val="both"/>
      </w:pPr>
      <w:r>
        <w:t>Expressing a</w:t>
      </w:r>
      <w:r w:rsidR="003B05EA">
        <w:t>n</w:t>
      </w:r>
      <w:r>
        <w:t xml:space="preserve"> interest to a TC advis</w:t>
      </w:r>
      <w:r w:rsidR="003B05EA">
        <w:t>o</w:t>
      </w:r>
      <w:r>
        <w:t xml:space="preserve">r, who will refer them to an IIT biology UG advisor. </w:t>
      </w:r>
    </w:p>
    <w:p w14:paraId="32E782CC" w14:textId="132A766B" w:rsidR="0042518F" w:rsidRDefault="0042518F" w:rsidP="007871B6">
      <w:pPr>
        <w:pStyle w:val="ListParagraph"/>
        <w:numPr>
          <w:ilvl w:val="0"/>
          <w:numId w:val="1"/>
        </w:numPr>
        <w:jc w:val="both"/>
      </w:pPr>
      <w:r>
        <w:t>They mus</w:t>
      </w:r>
      <w:r w:rsidR="004911B3">
        <w:t xml:space="preserve">t have completed one year (&gt;X </w:t>
      </w:r>
      <w:r w:rsidR="003F4F24">
        <w:t>c.h.)</w:t>
      </w:r>
      <w:r>
        <w:t xml:space="preserve"> of </w:t>
      </w:r>
      <w:r w:rsidR="003F4F24">
        <w:t>the program</w:t>
      </w:r>
      <w:r>
        <w:t xml:space="preserve"> at TC with a GPA of </w:t>
      </w:r>
      <w:r w:rsidR="004911B3">
        <w:t>&gt;</w:t>
      </w:r>
      <w:r>
        <w:t>X</w:t>
      </w:r>
      <w:r w:rsidR="007871B6">
        <w:t xml:space="preserve"> (3.</w:t>
      </w:r>
      <w:commentRangeStart w:id="3"/>
      <w:r w:rsidR="007871B6">
        <w:t>0</w:t>
      </w:r>
      <w:commentRangeEnd w:id="3"/>
      <w:r w:rsidR="007871B6">
        <w:rPr>
          <w:rStyle w:val="CommentReference"/>
        </w:rPr>
        <w:commentReference w:id="3"/>
      </w:r>
      <w:r w:rsidR="007871B6">
        <w:t xml:space="preserve"> ??)</w:t>
      </w:r>
    </w:p>
    <w:p w14:paraId="7691AC04" w14:textId="77777777" w:rsidR="0042518F" w:rsidRDefault="003B05EA" w:rsidP="007871B6">
      <w:pPr>
        <w:pStyle w:val="ListParagraph"/>
        <w:numPr>
          <w:ilvl w:val="0"/>
          <w:numId w:val="1"/>
        </w:numPr>
        <w:jc w:val="both"/>
      </w:pPr>
      <w:r>
        <w:t xml:space="preserve">They then must meet with the </w:t>
      </w:r>
      <w:r w:rsidR="0042518F">
        <w:t>IIT advi</w:t>
      </w:r>
      <w:r>
        <w:t>sor wh</w:t>
      </w:r>
      <w:r w:rsidR="00C06D94">
        <w:t xml:space="preserve">o will discuss the program at IIT with them and </w:t>
      </w:r>
      <w:r w:rsidR="004911B3">
        <w:t xml:space="preserve">must </w:t>
      </w:r>
      <w:r w:rsidR="00C06D94">
        <w:t xml:space="preserve">then </w:t>
      </w:r>
      <w:r w:rsidR="004911B3">
        <w:t>recommend</w:t>
      </w:r>
      <w:r>
        <w:t xml:space="preserve"> admission to thi</w:t>
      </w:r>
      <w:r w:rsidR="0042518F">
        <w:t>s program</w:t>
      </w:r>
    </w:p>
    <w:p w14:paraId="4D810279" w14:textId="77777777" w:rsidR="0042518F" w:rsidRDefault="0042518F" w:rsidP="007871B6">
      <w:pPr>
        <w:jc w:val="both"/>
      </w:pPr>
      <w:r>
        <w:t>Stude</w:t>
      </w:r>
      <w:r w:rsidR="003B05EA">
        <w:t>n</w:t>
      </w:r>
      <w:r>
        <w:t>ts must b</w:t>
      </w:r>
      <w:r w:rsidR="00B17F6C">
        <w:t>e independently admitted to IIT; a</w:t>
      </w:r>
      <w:r>
        <w:t xml:space="preserve">cceptance to such a transfer program only confers special status with respect to the ability to transfer these </w:t>
      </w:r>
      <w:r w:rsidR="003B05EA">
        <w:t xml:space="preserve">additional </w:t>
      </w:r>
      <w:r>
        <w:t>classes, shou</w:t>
      </w:r>
      <w:r w:rsidR="003B05EA">
        <w:t>l</w:t>
      </w:r>
      <w:r>
        <w:t>d they get admitted. However, we expe</w:t>
      </w:r>
      <w:r w:rsidR="003B05EA">
        <w:t>ct that an</w:t>
      </w:r>
      <w:r>
        <w:t>y student maintaining an GPA of 3.</w:t>
      </w:r>
      <w:commentRangeStart w:id="4"/>
      <w:r>
        <w:t>0</w:t>
      </w:r>
      <w:commentRangeEnd w:id="4"/>
      <w:r w:rsidR="007871B6">
        <w:rPr>
          <w:rStyle w:val="CommentReference"/>
        </w:rPr>
        <w:commentReference w:id="4"/>
      </w:r>
      <w:r>
        <w:t xml:space="preserve"> </w:t>
      </w:r>
      <w:r w:rsidR="003B05EA">
        <w:t>or better in this program at TC will be admitted for</w:t>
      </w:r>
      <w:r>
        <w:t xml:space="preserve"> transfer to IIT.</w:t>
      </w:r>
    </w:p>
    <w:p w14:paraId="6948C0E2" w14:textId="77777777" w:rsidR="005252AA" w:rsidRDefault="005252AA" w:rsidP="004911B3">
      <w:pPr>
        <w:pStyle w:val="Heading1"/>
      </w:pPr>
      <w:r>
        <w:t xml:space="preserve">Other </w:t>
      </w:r>
      <w:commentRangeStart w:id="5"/>
      <w:r>
        <w:t>activities</w:t>
      </w:r>
      <w:commentRangeEnd w:id="5"/>
      <w:r w:rsidR="007871B6">
        <w:rPr>
          <w:rStyle w:val="CommentReference"/>
          <w:rFonts w:asciiTheme="minorHAnsi" w:eastAsiaTheme="minorHAnsi" w:hAnsiTheme="minorHAnsi" w:cstheme="minorBidi"/>
          <w:color w:val="auto"/>
        </w:rPr>
        <w:commentReference w:id="5"/>
      </w:r>
    </w:p>
    <w:p w14:paraId="271C91A5" w14:textId="77777777" w:rsidR="004911B3" w:rsidRDefault="005252AA" w:rsidP="004911B3">
      <w:pPr>
        <w:pStyle w:val="ListParagraph"/>
        <w:numPr>
          <w:ilvl w:val="0"/>
          <w:numId w:val="4"/>
        </w:numPr>
      </w:pPr>
      <w:r>
        <w:t xml:space="preserve">An IIT representative will present the program and be available to meet students </w:t>
      </w:r>
      <w:r w:rsidR="004911B3">
        <w:t xml:space="preserve">at TC </w:t>
      </w:r>
      <w:r>
        <w:t>once per year at a mutually agreed upon date and time.</w:t>
      </w:r>
    </w:p>
    <w:p w14:paraId="0E0C1DDE" w14:textId="77777777" w:rsidR="005252AA" w:rsidRDefault="005252AA" w:rsidP="00C06D94">
      <w:pPr>
        <w:pStyle w:val="ListParagraph"/>
        <w:numPr>
          <w:ilvl w:val="0"/>
          <w:numId w:val="4"/>
        </w:numPr>
        <w:jc w:val="both"/>
      </w:pPr>
      <w:r>
        <w:t xml:space="preserve">IIT and </w:t>
      </w:r>
      <w:r w:rsidR="00001AEA">
        <w:t>TC representatives will consult</w:t>
      </w:r>
      <w:r>
        <w:t xml:space="preserve"> to develop a list of transferable classes, to</w:t>
      </w:r>
      <w:r w:rsidR="00001AEA">
        <w:t xml:space="preserve"> advise students who ma</w:t>
      </w:r>
      <w:r>
        <w:t xml:space="preserve">y wish to take additional classes at TC beyond those required by the biotechnology program at TC, as a resource for students wishing to transfer additional classes. Candidate courses within the </w:t>
      </w:r>
      <w:r w:rsidR="00001AEA">
        <w:t>requirements for</w:t>
      </w:r>
      <w:r w:rsidR="00C06D94">
        <w:t xml:space="preserve"> BS B</w:t>
      </w:r>
      <w:r>
        <w:t xml:space="preserve">iology </w:t>
      </w:r>
      <w:r w:rsidR="00C06D94">
        <w:t xml:space="preserve">or Biochemistry </w:t>
      </w:r>
      <w:commentRangeStart w:id="6"/>
      <w:r>
        <w:t>are</w:t>
      </w:r>
      <w:commentRangeEnd w:id="6"/>
      <w:r w:rsidR="007871B6">
        <w:rPr>
          <w:rStyle w:val="CommentReference"/>
        </w:rPr>
        <w:commentReference w:id="6"/>
      </w:r>
      <w:r>
        <w:t>:</w:t>
      </w:r>
    </w:p>
    <w:p w14:paraId="01E28699" w14:textId="77777777" w:rsidR="005252AA" w:rsidRDefault="005252AA" w:rsidP="004911B3">
      <w:pPr>
        <w:pStyle w:val="ListParagrap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4"/>
        <w:gridCol w:w="4266"/>
      </w:tblGrid>
      <w:tr w:rsidR="00001AEA" w14:paraId="329DB708" w14:textId="77777777" w:rsidTr="004911B3">
        <w:tc>
          <w:tcPr>
            <w:tcW w:w="4364" w:type="dxa"/>
            <w:tcBorders>
              <w:bottom w:val="single" w:sz="4" w:space="0" w:color="auto"/>
              <w:right w:val="single" w:sz="4" w:space="0" w:color="auto"/>
            </w:tcBorders>
          </w:tcPr>
          <w:p w14:paraId="6A5250DB" w14:textId="77777777" w:rsidR="00001AEA" w:rsidRPr="00001AEA" w:rsidRDefault="00001AEA" w:rsidP="00001AEA">
            <w:pPr>
              <w:pStyle w:val="ListParagraph"/>
              <w:ind w:left="0"/>
              <w:jc w:val="center"/>
              <w:rPr>
                <w:b/>
              </w:rPr>
            </w:pPr>
            <w:r w:rsidRPr="00001AEA">
              <w:rPr>
                <w:b/>
              </w:rPr>
              <w:t>IIT</w:t>
            </w:r>
          </w:p>
        </w:tc>
        <w:tc>
          <w:tcPr>
            <w:tcW w:w="4266" w:type="dxa"/>
            <w:tcBorders>
              <w:left w:val="single" w:sz="4" w:space="0" w:color="auto"/>
              <w:bottom w:val="single" w:sz="4" w:space="0" w:color="auto"/>
            </w:tcBorders>
          </w:tcPr>
          <w:p w14:paraId="72F4C104" w14:textId="77777777" w:rsidR="00001AEA" w:rsidRPr="00001AEA" w:rsidRDefault="00001AEA" w:rsidP="00001AEA">
            <w:pPr>
              <w:pStyle w:val="ListParagraph"/>
              <w:ind w:left="0"/>
              <w:jc w:val="center"/>
              <w:rPr>
                <w:b/>
              </w:rPr>
            </w:pPr>
            <w:r w:rsidRPr="00001AEA">
              <w:rPr>
                <w:b/>
              </w:rPr>
              <w:t>TC</w:t>
            </w:r>
          </w:p>
        </w:tc>
      </w:tr>
      <w:tr w:rsidR="00001AEA" w14:paraId="3A3B103C" w14:textId="77777777" w:rsidTr="004911B3">
        <w:tc>
          <w:tcPr>
            <w:tcW w:w="8630" w:type="dxa"/>
            <w:gridSpan w:val="2"/>
            <w:tcBorders>
              <w:top w:val="single" w:sz="4" w:space="0" w:color="auto"/>
            </w:tcBorders>
          </w:tcPr>
          <w:p w14:paraId="67837C0E" w14:textId="77777777" w:rsidR="00001AEA" w:rsidRPr="00001AEA" w:rsidRDefault="00001AEA" w:rsidP="00001AEA">
            <w:pPr>
              <w:pStyle w:val="ListParagraph"/>
              <w:ind w:left="0"/>
              <w:jc w:val="center"/>
              <w:rPr>
                <w:i/>
              </w:rPr>
            </w:pPr>
            <w:r w:rsidRPr="00001AEA">
              <w:rPr>
                <w:i/>
              </w:rPr>
              <w:t>chemistry</w:t>
            </w:r>
          </w:p>
        </w:tc>
      </w:tr>
      <w:tr w:rsidR="00001AEA" w14:paraId="43B0BD11" w14:textId="77777777" w:rsidTr="004911B3">
        <w:tc>
          <w:tcPr>
            <w:tcW w:w="4364" w:type="dxa"/>
            <w:tcBorders>
              <w:right w:val="single" w:sz="4" w:space="0" w:color="auto"/>
            </w:tcBorders>
          </w:tcPr>
          <w:p w14:paraId="06EA9DE6" w14:textId="77777777" w:rsidR="00001AEA" w:rsidRDefault="00001AEA" w:rsidP="004911B3">
            <w:pPr>
              <w:pStyle w:val="ListParagraph"/>
              <w:ind w:left="0" w:right="383"/>
              <w:jc w:val="right"/>
            </w:pPr>
            <w:r>
              <w:t>CHEM125 (gen chem 2)</w:t>
            </w:r>
          </w:p>
        </w:tc>
        <w:tc>
          <w:tcPr>
            <w:tcW w:w="4266" w:type="dxa"/>
            <w:tcBorders>
              <w:left w:val="single" w:sz="4" w:space="0" w:color="auto"/>
            </w:tcBorders>
          </w:tcPr>
          <w:p w14:paraId="71B83AB2" w14:textId="77777777" w:rsidR="00001AEA" w:rsidRDefault="004911B3" w:rsidP="004911B3">
            <w:pPr>
              <w:pStyle w:val="ListParagraph"/>
              <w:ind w:left="301" w:right="383"/>
            </w:pPr>
            <w:r>
              <w:t>CHM141</w:t>
            </w:r>
          </w:p>
        </w:tc>
      </w:tr>
      <w:tr w:rsidR="00001AEA" w14:paraId="15D74B1D" w14:textId="77777777" w:rsidTr="004911B3">
        <w:tc>
          <w:tcPr>
            <w:tcW w:w="4364" w:type="dxa"/>
            <w:tcBorders>
              <w:right w:val="single" w:sz="4" w:space="0" w:color="auto"/>
            </w:tcBorders>
          </w:tcPr>
          <w:p w14:paraId="6E521F7F" w14:textId="77777777" w:rsidR="00001AEA" w:rsidRDefault="00001AEA" w:rsidP="004911B3">
            <w:pPr>
              <w:pStyle w:val="ListParagraph"/>
              <w:ind w:left="0" w:right="383"/>
              <w:jc w:val="right"/>
            </w:pPr>
            <w:r>
              <w:t>CHEM239 (organic 2)</w:t>
            </w:r>
          </w:p>
        </w:tc>
        <w:tc>
          <w:tcPr>
            <w:tcW w:w="4266" w:type="dxa"/>
            <w:tcBorders>
              <w:left w:val="single" w:sz="4" w:space="0" w:color="auto"/>
            </w:tcBorders>
          </w:tcPr>
          <w:p w14:paraId="5F8F41AC" w14:textId="77777777" w:rsidR="00001AEA" w:rsidRDefault="00C06D94" w:rsidP="004911B3">
            <w:pPr>
              <w:pStyle w:val="ListParagraph"/>
              <w:ind w:left="301" w:right="383"/>
            </w:pPr>
            <w:r>
              <w:t>CHM235</w:t>
            </w:r>
          </w:p>
        </w:tc>
      </w:tr>
      <w:tr w:rsidR="00001AEA" w14:paraId="06A315ED" w14:textId="77777777" w:rsidTr="004911B3">
        <w:tc>
          <w:tcPr>
            <w:tcW w:w="8630" w:type="dxa"/>
            <w:gridSpan w:val="2"/>
          </w:tcPr>
          <w:p w14:paraId="7F695306" w14:textId="77777777" w:rsidR="00001AEA" w:rsidRPr="00001AEA" w:rsidRDefault="00001AEA" w:rsidP="00001AEA">
            <w:pPr>
              <w:pStyle w:val="ListParagraph"/>
              <w:ind w:left="0"/>
              <w:jc w:val="center"/>
              <w:rPr>
                <w:i/>
              </w:rPr>
            </w:pPr>
            <w:r w:rsidRPr="00001AEA">
              <w:rPr>
                <w:i/>
              </w:rPr>
              <w:t>physics</w:t>
            </w:r>
          </w:p>
        </w:tc>
      </w:tr>
      <w:tr w:rsidR="00001AEA" w14:paraId="5FD92F85" w14:textId="77777777" w:rsidTr="004911B3">
        <w:tc>
          <w:tcPr>
            <w:tcW w:w="4364" w:type="dxa"/>
            <w:tcBorders>
              <w:right w:val="single" w:sz="4" w:space="0" w:color="auto"/>
            </w:tcBorders>
          </w:tcPr>
          <w:p w14:paraId="398CEB9B" w14:textId="77777777" w:rsidR="00001AEA" w:rsidRDefault="00001AEA" w:rsidP="004911B3">
            <w:pPr>
              <w:pStyle w:val="ListParagraph"/>
              <w:ind w:left="0" w:right="383"/>
              <w:jc w:val="right"/>
            </w:pPr>
            <w:r>
              <w:t>PHYS123 (physics 1)</w:t>
            </w:r>
          </w:p>
        </w:tc>
        <w:tc>
          <w:tcPr>
            <w:tcW w:w="4266" w:type="dxa"/>
            <w:tcBorders>
              <w:left w:val="single" w:sz="4" w:space="0" w:color="auto"/>
            </w:tcBorders>
          </w:tcPr>
          <w:p w14:paraId="6E377039" w14:textId="77777777" w:rsidR="00001AEA" w:rsidRDefault="00C06D94" w:rsidP="004911B3">
            <w:pPr>
              <w:pStyle w:val="ListParagraph"/>
              <w:ind w:left="301" w:right="383"/>
            </w:pPr>
            <w:r>
              <w:t>PHY</w:t>
            </w:r>
            <w:r w:rsidR="004911B3">
              <w:t>106</w:t>
            </w:r>
          </w:p>
        </w:tc>
      </w:tr>
      <w:tr w:rsidR="00001AEA" w14:paraId="5E733538" w14:textId="77777777" w:rsidTr="004911B3">
        <w:tc>
          <w:tcPr>
            <w:tcW w:w="4364" w:type="dxa"/>
            <w:tcBorders>
              <w:right w:val="single" w:sz="4" w:space="0" w:color="auto"/>
            </w:tcBorders>
          </w:tcPr>
          <w:p w14:paraId="2A00E20D" w14:textId="77777777" w:rsidR="00001AEA" w:rsidRDefault="00001AEA" w:rsidP="004911B3">
            <w:pPr>
              <w:pStyle w:val="ListParagraph"/>
              <w:ind w:left="0" w:right="383"/>
              <w:jc w:val="right"/>
            </w:pPr>
            <w:r>
              <w:t>PHYS221 (physics 2)</w:t>
            </w:r>
          </w:p>
        </w:tc>
        <w:tc>
          <w:tcPr>
            <w:tcW w:w="4266" w:type="dxa"/>
            <w:tcBorders>
              <w:left w:val="single" w:sz="4" w:space="0" w:color="auto"/>
            </w:tcBorders>
          </w:tcPr>
          <w:p w14:paraId="7EECD34D" w14:textId="77777777" w:rsidR="00001AEA" w:rsidRDefault="00C06D94" w:rsidP="004911B3">
            <w:pPr>
              <w:pStyle w:val="ListParagraph"/>
              <w:ind w:left="301" w:right="383"/>
            </w:pPr>
            <w:r>
              <w:t>PHY107</w:t>
            </w:r>
          </w:p>
        </w:tc>
      </w:tr>
      <w:tr w:rsidR="00001AEA" w14:paraId="714EAE51" w14:textId="77777777" w:rsidTr="004911B3">
        <w:tc>
          <w:tcPr>
            <w:tcW w:w="4364" w:type="dxa"/>
            <w:tcBorders>
              <w:right w:val="single" w:sz="4" w:space="0" w:color="auto"/>
            </w:tcBorders>
          </w:tcPr>
          <w:p w14:paraId="04CD961D" w14:textId="77777777" w:rsidR="00001AEA" w:rsidRDefault="00001AEA" w:rsidP="004911B3">
            <w:pPr>
              <w:pStyle w:val="ListParagraph"/>
              <w:ind w:left="0" w:right="383"/>
              <w:jc w:val="right"/>
            </w:pPr>
            <w:r>
              <w:t>PHYS224 (physics 3)</w:t>
            </w:r>
          </w:p>
        </w:tc>
        <w:tc>
          <w:tcPr>
            <w:tcW w:w="4266" w:type="dxa"/>
            <w:tcBorders>
              <w:left w:val="single" w:sz="4" w:space="0" w:color="auto"/>
            </w:tcBorders>
          </w:tcPr>
          <w:p w14:paraId="5E04982C" w14:textId="77777777" w:rsidR="00001AEA" w:rsidRDefault="00C06D94" w:rsidP="004911B3">
            <w:pPr>
              <w:pStyle w:val="ListParagraph"/>
              <w:ind w:left="301" w:right="383"/>
            </w:pPr>
            <w:r>
              <w:t>PHY108</w:t>
            </w:r>
          </w:p>
        </w:tc>
      </w:tr>
      <w:tr w:rsidR="00001AEA" w14:paraId="0BE67C23" w14:textId="77777777" w:rsidTr="004911B3">
        <w:tc>
          <w:tcPr>
            <w:tcW w:w="8630" w:type="dxa"/>
            <w:gridSpan w:val="2"/>
          </w:tcPr>
          <w:p w14:paraId="72824D90" w14:textId="77777777" w:rsidR="00001AEA" w:rsidRPr="00001AEA" w:rsidRDefault="00001AEA" w:rsidP="00001AEA">
            <w:pPr>
              <w:pStyle w:val="ListParagraph"/>
              <w:ind w:left="0"/>
              <w:jc w:val="center"/>
              <w:rPr>
                <w:i/>
              </w:rPr>
            </w:pPr>
            <w:r w:rsidRPr="00001AEA">
              <w:rPr>
                <w:i/>
              </w:rPr>
              <w:t>math</w:t>
            </w:r>
          </w:p>
        </w:tc>
      </w:tr>
      <w:tr w:rsidR="00001AEA" w14:paraId="7526DA06" w14:textId="77777777" w:rsidTr="004911B3">
        <w:tc>
          <w:tcPr>
            <w:tcW w:w="4364" w:type="dxa"/>
            <w:tcBorders>
              <w:right w:val="single" w:sz="4" w:space="0" w:color="auto"/>
            </w:tcBorders>
          </w:tcPr>
          <w:p w14:paraId="2434F0B5" w14:textId="77777777" w:rsidR="00001AEA" w:rsidRDefault="00001AEA" w:rsidP="004911B3">
            <w:pPr>
              <w:pStyle w:val="ListParagraph"/>
              <w:ind w:left="0" w:right="383"/>
              <w:jc w:val="right"/>
            </w:pPr>
            <w:r>
              <w:t>MATH152 (calculus 2)</w:t>
            </w:r>
          </w:p>
        </w:tc>
        <w:tc>
          <w:tcPr>
            <w:tcW w:w="4266" w:type="dxa"/>
            <w:tcBorders>
              <w:left w:val="single" w:sz="4" w:space="0" w:color="auto"/>
            </w:tcBorders>
          </w:tcPr>
          <w:p w14:paraId="1E0306C1" w14:textId="77777777" w:rsidR="00001AEA" w:rsidRDefault="00C06D94" w:rsidP="004911B3">
            <w:pPr>
              <w:pStyle w:val="ListParagraph"/>
              <w:ind w:left="301" w:right="383"/>
            </w:pPr>
            <w:r>
              <w:t>MAT133</w:t>
            </w:r>
          </w:p>
        </w:tc>
      </w:tr>
      <w:tr w:rsidR="00001AEA" w14:paraId="1B7E3949" w14:textId="77777777" w:rsidTr="004911B3">
        <w:tc>
          <w:tcPr>
            <w:tcW w:w="4364" w:type="dxa"/>
            <w:tcBorders>
              <w:right w:val="single" w:sz="4" w:space="0" w:color="auto"/>
            </w:tcBorders>
          </w:tcPr>
          <w:p w14:paraId="6E87160F" w14:textId="77777777" w:rsidR="00001AEA" w:rsidRDefault="00001AEA" w:rsidP="004911B3">
            <w:pPr>
              <w:pStyle w:val="ListParagraph"/>
              <w:ind w:left="0" w:right="383"/>
              <w:jc w:val="right"/>
            </w:pPr>
            <w:r>
              <w:t>MATH251* (multivariable calculus)</w:t>
            </w:r>
          </w:p>
        </w:tc>
        <w:tc>
          <w:tcPr>
            <w:tcW w:w="4266" w:type="dxa"/>
            <w:tcBorders>
              <w:left w:val="single" w:sz="4" w:space="0" w:color="auto"/>
            </w:tcBorders>
          </w:tcPr>
          <w:p w14:paraId="4F661D48" w14:textId="77777777" w:rsidR="00001AEA" w:rsidRDefault="00C06D94" w:rsidP="004911B3">
            <w:pPr>
              <w:pStyle w:val="ListParagraph"/>
              <w:ind w:left="301" w:right="383"/>
            </w:pPr>
            <w:r>
              <w:t>MAT135</w:t>
            </w:r>
          </w:p>
        </w:tc>
      </w:tr>
      <w:tr w:rsidR="00001AEA" w14:paraId="19DBB5D6" w14:textId="77777777" w:rsidTr="004911B3">
        <w:tc>
          <w:tcPr>
            <w:tcW w:w="4364" w:type="dxa"/>
            <w:tcBorders>
              <w:right w:val="single" w:sz="4" w:space="0" w:color="auto"/>
            </w:tcBorders>
          </w:tcPr>
          <w:p w14:paraId="54686F19" w14:textId="77777777" w:rsidR="00001AEA" w:rsidRDefault="00001AEA" w:rsidP="00001AEA">
            <w:pPr>
              <w:pStyle w:val="ListParagraph"/>
              <w:ind w:left="0"/>
            </w:pPr>
          </w:p>
        </w:tc>
        <w:tc>
          <w:tcPr>
            <w:tcW w:w="4266" w:type="dxa"/>
            <w:tcBorders>
              <w:left w:val="single" w:sz="4" w:space="0" w:color="auto"/>
            </w:tcBorders>
          </w:tcPr>
          <w:p w14:paraId="457AFA28" w14:textId="77777777" w:rsidR="00001AEA" w:rsidRDefault="00001AEA" w:rsidP="00001AEA">
            <w:pPr>
              <w:pStyle w:val="ListParagraph"/>
              <w:ind w:left="0"/>
              <w:jc w:val="right"/>
            </w:pPr>
          </w:p>
        </w:tc>
      </w:tr>
      <w:tr w:rsidR="00001AEA" w14:paraId="300BBDBD" w14:textId="77777777" w:rsidTr="004911B3">
        <w:tc>
          <w:tcPr>
            <w:tcW w:w="8630" w:type="dxa"/>
            <w:gridSpan w:val="2"/>
          </w:tcPr>
          <w:p w14:paraId="1CDB9C66" w14:textId="77777777" w:rsidR="00001AEA" w:rsidRDefault="00001AEA" w:rsidP="00001AEA">
            <w:pPr>
              <w:pStyle w:val="ListParagraph"/>
              <w:ind w:left="0"/>
              <w:jc w:val="center"/>
            </w:pPr>
            <w:r>
              <w:t>* Only required with</w:t>
            </w:r>
            <w:r w:rsidR="004911B3">
              <w:t>in BS</w:t>
            </w:r>
            <w:r>
              <w:t xml:space="preserve"> </w:t>
            </w:r>
            <w:r w:rsidR="004911B3">
              <w:t>Biochemistry at IIT, not biolog</w:t>
            </w:r>
            <w:r>
              <w:t>y</w:t>
            </w:r>
          </w:p>
        </w:tc>
      </w:tr>
    </w:tbl>
    <w:p w14:paraId="4D7AB67A" w14:textId="77777777" w:rsidR="00001AEA" w:rsidRDefault="00001AEA" w:rsidP="00001AEA">
      <w:pPr>
        <w:pStyle w:val="ListParagraph"/>
      </w:pPr>
    </w:p>
    <w:p w14:paraId="77B756B6" w14:textId="77777777" w:rsidR="005252AA" w:rsidRDefault="005252AA"/>
    <w:sectPr w:rsidR="005252A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xxx" w:date="2017-07-21T07:05:00Z" w:initials="xxx">
    <w:p w14:paraId="5F22376A" w14:textId="77777777" w:rsidR="007871B6" w:rsidRDefault="007871B6">
      <w:pPr>
        <w:pStyle w:val="CommentText"/>
      </w:pPr>
      <w:r>
        <w:rPr>
          <w:rStyle w:val="CommentReference"/>
        </w:rPr>
        <w:annotationRef/>
      </w:r>
      <w:r>
        <w:t>NM: please review</w:t>
      </w:r>
      <w:r w:rsidR="007F2037">
        <w:t>. If there are changes we can work with IIT UGAA to update automatic transfer list</w:t>
      </w:r>
    </w:p>
  </w:comment>
  <w:comment w:id="2" w:author="xxx" w:date="2017-07-21T06:58:00Z" w:initials="xxx">
    <w:p w14:paraId="3EB4C73B" w14:textId="5631B0B4" w:rsidR="007871B6" w:rsidRDefault="007871B6">
      <w:pPr>
        <w:pStyle w:val="CommentText"/>
      </w:pPr>
      <w:r>
        <w:rPr>
          <w:rStyle w:val="CommentReference"/>
        </w:rPr>
        <w:annotationRef/>
      </w:r>
      <w:r>
        <w:t xml:space="preserve">NM:  this is not </w:t>
      </w:r>
      <w:r w:rsidR="003F4F24">
        <w:t>formally</w:t>
      </w:r>
      <w:r>
        <w:t xml:space="preserve"> required by IIT policy, only  a C. but I think this will make it more palatable here, given that normally we are </w:t>
      </w:r>
      <w:r w:rsidR="003F4F24">
        <w:t>not</w:t>
      </w:r>
      <w:r>
        <w:t xml:space="preserve"> allowed to transfer in 300 or 300 level classes form 2yrs.</w:t>
      </w:r>
    </w:p>
  </w:comment>
  <w:comment w:id="3" w:author="xxx" w:date="2017-07-21T07:02:00Z" w:initials="xxx">
    <w:p w14:paraId="384C0796" w14:textId="77777777" w:rsidR="007871B6" w:rsidRDefault="007871B6">
      <w:pPr>
        <w:pStyle w:val="CommentText"/>
      </w:pPr>
      <w:r>
        <w:rPr>
          <w:rStyle w:val="CommentReference"/>
        </w:rPr>
        <w:annotationRef/>
      </w:r>
      <w:r>
        <w:t>NM: thoughts ?</w:t>
      </w:r>
    </w:p>
  </w:comment>
  <w:comment w:id="4" w:author="xxx" w:date="2017-07-21T07:01:00Z" w:initials="xxx">
    <w:p w14:paraId="57CBE792" w14:textId="32558A73" w:rsidR="007871B6" w:rsidRDefault="007871B6">
      <w:pPr>
        <w:pStyle w:val="CommentText"/>
      </w:pPr>
      <w:r>
        <w:rPr>
          <w:rStyle w:val="CommentReference"/>
        </w:rPr>
        <w:annotationRef/>
      </w:r>
      <w:r>
        <w:t xml:space="preserve">NM: I will consult with admission on </w:t>
      </w:r>
      <w:r w:rsidR="003F4F24">
        <w:t>this</w:t>
      </w:r>
      <w:r>
        <w:t xml:space="preserve"> number but it seems about right to me</w:t>
      </w:r>
    </w:p>
  </w:comment>
  <w:comment w:id="5" w:author="xxx" w:date="2017-07-21T07:01:00Z" w:initials="xxx">
    <w:p w14:paraId="447FC353" w14:textId="77777777" w:rsidR="007871B6" w:rsidRDefault="007871B6">
      <w:pPr>
        <w:pStyle w:val="CommentText"/>
      </w:pPr>
      <w:r>
        <w:rPr>
          <w:rStyle w:val="CommentReference"/>
        </w:rPr>
        <w:annotationRef/>
      </w:r>
      <w:r>
        <w:t>Anything else?</w:t>
      </w:r>
    </w:p>
    <w:p w14:paraId="74752795" w14:textId="77777777" w:rsidR="007871B6" w:rsidRDefault="007871B6">
      <w:pPr>
        <w:pStyle w:val="CommentText"/>
      </w:pPr>
    </w:p>
  </w:comment>
  <w:comment w:id="6" w:author="xxx" w:date="2017-07-21T07:00:00Z" w:initials="xxx">
    <w:p w14:paraId="4D7C7690" w14:textId="77777777" w:rsidR="007871B6" w:rsidRDefault="007871B6">
      <w:pPr>
        <w:pStyle w:val="CommentText"/>
      </w:pPr>
      <w:r>
        <w:rPr>
          <w:rStyle w:val="CommentReference"/>
        </w:rPr>
        <w:annotationRef/>
      </w:r>
      <w:r>
        <w:t>NM: please help identify any other or more appropriate TC classes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22376A" w15:done="0"/>
  <w15:commentEx w15:paraId="3EB4C73B" w15:done="0"/>
  <w15:commentEx w15:paraId="384C0796" w15:done="0"/>
  <w15:commentEx w15:paraId="57CBE792" w15:done="0"/>
  <w15:commentEx w15:paraId="74752795" w15:done="0"/>
  <w15:commentEx w15:paraId="4D7C76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22376A" w16cid:durableId="1D1C264B"/>
  <w16cid:commentId w16cid:paraId="3EB4C73B" w16cid:durableId="1D1C24A4"/>
  <w16cid:commentId w16cid:paraId="384C0796" w16cid:durableId="1D1C258C"/>
  <w16cid:commentId w16cid:paraId="57CBE792" w16cid:durableId="1D1C255E"/>
  <w16cid:commentId w16cid:paraId="74752795" w16cid:durableId="1D1C253A"/>
  <w16cid:commentId w16cid:paraId="4D7C7690" w16cid:durableId="1D1C252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D72CC"/>
    <w:multiLevelType w:val="hybridMultilevel"/>
    <w:tmpl w:val="A4C0D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517982"/>
    <w:multiLevelType w:val="hybridMultilevel"/>
    <w:tmpl w:val="A272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0852CE"/>
    <w:multiLevelType w:val="hybridMultilevel"/>
    <w:tmpl w:val="E2E60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9E6548"/>
    <w:multiLevelType w:val="hybridMultilevel"/>
    <w:tmpl w:val="8C94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xx">
    <w15:presenceInfo w15:providerId="None" w15:userId="xx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8F"/>
    <w:rsid w:val="00001AEA"/>
    <w:rsid w:val="001A3EB1"/>
    <w:rsid w:val="001F1C3A"/>
    <w:rsid w:val="002956DC"/>
    <w:rsid w:val="003B05EA"/>
    <w:rsid w:val="003F4F24"/>
    <w:rsid w:val="0042518F"/>
    <w:rsid w:val="004911B3"/>
    <w:rsid w:val="005252AA"/>
    <w:rsid w:val="00622576"/>
    <w:rsid w:val="007871B6"/>
    <w:rsid w:val="007F2037"/>
    <w:rsid w:val="009D6BC9"/>
    <w:rsid w:val="00A210C5"/>
    <w:rsid w:val="00B17F6C"/>
    <w:rsid w:val="00C06D94"/>
    <w:rsid w:val="00C67E6B"/>
    <w:rsid w:val="00CE0034"/>
    <w:rsid w:val="00ED4562"/>
    <w:rsid w:val="00F1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4C51"/>
  <w15:chartTrackingRefBased/>
  <w15:docId w15:val="{98591934-54A3-4175-B8D7-95A4A3CD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1A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0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05EA"/>
    <w:pPr>
      <w:ind w:left="720"/>
      <w:contextualSpacing/>
    </w:pPr>
  </w:style>
  <w:style w:type="paragraph" w:styleId="Title">
    <w:name w:val="Title"/>
    <w:basedOn w:val="Normal"/>
    <w:next w:val="Normal"/>
    <w:link w:val="TitleChar"/>
    <w:uiPriority w:val="10"/>
    <w:qFormat/>
    <w:rsid w:val="003B05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05E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01AEA"/>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7871B6"/>
    <w:rPr>
      <w:sz w:val="16"/>
      <w:szCs w:val="16"/>
    </w:rPr>
  </w:style>
  <w:style w:type="paragraph" w:styleId="CommentText">
    <w:name w:val="annotation text"/>
    <w:basedOn w:val="Normal"/>
    <w:link w:val="CommentTextChar"/>
    <w:uiPriority w:val="99"/>
    <w:semiHidden/>
    <w:unhideWhenUsed/>
    <w:rsid w:val="007871B6"/>
    <w:pPr>
      <w:spacing w:line="240" w:lineRule="auto"/>
    </w:pPr>
    <w:rPr>
      <w:sz w:val="20"/>
      <w:szCs w:val="20"/>
    </w:rPr>
  </w:style>
  <w:style w:type="character" w:customStyle="1" w:styleId="CommentTextChar">
    <w:name w:val="Comment Text Char"/>
    <w:basedOn w:val="DefaultParagraphFont"/>
    <w:link w:val="CommentText"/>
    <w:uiPriority w:val="99"/>
    <w:semiHidden/>
    <w:rsid w:val="007871B6"/>
    <w:rPr>
      <w:sz w:val="20"/>
      <w:szCs w:val="20"/>
    </w:rPr>
  </w:style>
  <w:style w:type="paragraph" w:styleId="CommentSubject">
    <w:name w:val="annotation subject"/>
    <w:basedOn w:val="CommentText"/>
    <w:next w:val="CommentText"/>
    <w:link w:val="CommentSubjectChar"/>
    <w:uiPriority w:val="99"/>
    <w:semiHidden/>
    <w:unhideWhenUsed/>
    <w:rsid w:val="007871B6"/>
    <w:rPr>
      <w:b/>
      <w:bCs/>
    </w:rPr>
  </w:style>
  <w:style w:type="character" w:customStyle="1" w:styleId="CommentSubjectChar">
    <w:name w:val="Comment Subject Char"/>
    <w:basedOn w:val="CommentTextChar"/>
    <w:link w:val="CommentSubject"/>
    <w:uiPriority w:val="99"/>
    <w:semiHidden/>
    <w:rsid w:val="007871B6"/>
    <w:rPr>
      <w:b/>
      <w:bCs/>
      <w:sz w:val="20"/>
      <w:szCs w:val="20"/>
    </w:rPr>
  </w:style>
  <w:style w:type="paragraph" w:styleId="BalloonText">
    <w:name w:val="Balloon Text"/>
    <w:basedOn w:val="Normal"/>
    <w:link w:val="BalloonTextChar"/>
    <w:uiPriority w:val="99"/>
    <w:semiHidden/>
    <w:unhideWhenUsed/>
    <w:rsid w:val="00787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1B6"/>
    <w:rPr>
      <w:rFonts w:ascii="Segoe UI" w:hAnsi="Segoe UI" w:cs="Segoe UI"/>
      <w:sz w:val="18"/>
      <w:szCs w:val="18"/>
    </w:rPr>
  </w:style>
  <w:style w:type="character" w:styleId="Hyperlink">
    <w:name w:val="Hyperlink"/>
    <w:basedOn w:val="DefaultParagraphFont"/>
    <w:uiPriority w:val="99"/>
    <w:unhideWhenUsed/>
    <w:rsid w:val="007871B6"/>
    <w:rPr>
      <w:color w:val="0563C1" w:themeColor="hyperlink"/>
      <w:u w:val="single"/>
    </w:rPr>
  </w:style>
  <w:style w:type="character" w:customStyle="1" w:styleId="UnresolvedMention">
    <w:name w:val="Unresolved Mention"/>
    <w:basedOn w:val="DefaultParagraphFont"/>
    <w:uiPriority w:val="99"/>
    <w:semiHidden/>
    <w:unhideWhenUsed/>
    <w:rsid w:val="007871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eb.iit.edu/ugaa/transfer-credits/triton/biological-and-chemical-sciences" TargetMode="Externa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1"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Andrew Howard</cp:lastModifiedBy>
  <cp:revision>2</cp:revision>
  <dcterms:created xsi:type="dcterms:W3CDTF">2017-10-25T23:16:00Z</dcterms:created>
  <dcterms:modified xsi:type="dcterms:W3CDTF">2017-10-25T23:16:00Z</dcterms:modified>
</cp:coreProperties>
</file>